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0" w:type="dxa"/>
        <w:tblInd w:w="-72" w:type="dxa"/>
        <w:tblLayout w:type="fixed"/>
        <w:tblCellMar>
          <w:left w:w="70" w:type="dxa"/>
          <w:right w:w="70" w:type="dxa"/>
        </w:tblCellMar>
        <w:tblLook w:val="0000" w:firstRow="0" w:lastRow="0" w:firstColumn="0" w:lastColumn="0" w:noHBand="0" w:noVBand="0"/>
      </w:tblPr>
      <w:tblGrid>
        <w:gridCol w:w="5812"/>
        <w:gridCol w:w="3828"/>
      </w:tblGrid>
      <w:tr w:rsidR="00E54AB6" w:rsidRPr="0069362F" w:rsidTr="004A3C6B">
        <w:tblPrEx>
          <w:tblCellMar>
            <w:top w:w="0" w:type="dxa"/>
            <w:bottom w:w="0" w:type="dxa"/>
          </w:tblCellMar>
        </w:tblPrEx>
        <w:trPr>
          <w:cantSplit/>
        </w:trPr>
        <w:tc>
          <w:tcPr>
            <w:tcW w:w="5812" w:type="dxa"/>
            <w:vMerge w:val="restart"/>
          </w:tcPr>
          <w:p w:rsidR="00E54AB6" w:rsidRPr="0069362F" w:rsidRDefault="00B26E69" w:rsidP="0069362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4pt;height:55.2pt">
                  <v:imagedata r:id="rId6" o:title="Seestadt_Logo"/>
                </v:shape>
              </w:pict>
            </w:r>
          </w:p>
        </w:tc>
        <w:tc>
          <w:tcPr>
            <w:tcW w:w="3828" w:type="dxa"/>
          </w:tcPr>
          <w:p w:rsidR="00E54AB6" w:rsidRPr="0069362F" w:rsidRDefault="00D70A79" w:rsidP="0069362F">
            <w:r>
              <w:rPr>
                <w:noProof/>
              </w:rPr>
              <w:pict>
                <v:shapetype id="_x0000_t202" coordsize="21600,21600" o:spt="202" path="m,l,21600r21600,l21600,xe">
                  <v:stroke joinstyle="miter"/>
                  <v:path gradientshapeok="t" o:connecttype="rect"/>
                </v:shapetype>
                <v:shape id="_x0000_s1026" type="#_x0000_t202" style="position:absolute;left:0;text-align:left;margin-left:129.75pt;margin-top:-15.2pt;width:95.25pt;height:28.5pt;z-index:251657728;mso-position-horizontal-relative:text;mso-position-vertical-relative:text" stroked="f">
                  <v:textbox>
                    <w:txbxContent>
                      <w:p w:rsidR="00D70A79" w:rsidRPr="008D3B33" w:rsidRDefault="00D70A79">
                        <w:pPr>
                          <w:rPr>
                            <w:b/>
                            <w:sz w:val="24"/>
                            <w:szCs w:val="24"/>
                          </w:rPr>
                        </w:pPr>
                        <w:r w:rsidRPr="008D3B33">
                          <w:rPr>
                            <w:b/>
                            <w:sz w:val="24"/>
                            <w:szCs w:val="24"/>
                          </w:rPr>
                          <w:t>Anlage 1</w:t>
                        </w:r>
                      </w:p>
                    </w:txbxContent>
                  </v:textbox>
                </v:shape>
              </w:pict>
            </w:r>
            <w:r w:rsidR="003D0FE2">
              <w:t>Dezernat II</w:t>
            </w:r>
          </w:p>
        </w:tc>
      </w:tr>
      <w:tr w:rsidR="00E54AB6" w:rsidRPr="0069362F" w:rsidTr="004A3C6B">
        <w:tblPrEx>
          <w:tblCellMar>
            <w:top w:w="0" w:type="dxa"/>
            <w:bottom w:w="0" w:type="dxa"/>
          </w:tblCellMar>
        </w:tblPrEx>
        <w:trPr>
          <w:cantSplit/>
        </w:trPr>
        <w:tc>
          <w:tcPr>
            <w:tcW w:w="5812" w:type="dxa"/>
            <w:vMerge/>
          </w:tcPr>
          <w:p w:rsidR="00E54AB6" w:rsidRPr="0069362F" w:rsidRDefault="00E54AB6" w:rsidP="0069362F"/>
        </w:tc>
        <w:tc>
          <w:tcPr>
            <w:tcW w:w="3828" w:type="dxa"/>
          </w:tcPr>
          <w:p w:rsidR="00E54AB6" w:rsidRPr="0069362F" w:rsidRDefault="003D0FE2" w:rsidP="0069362F">
            <w:r>
              <w:t>Rechts- und Versicherungsamt</w:t>
            </w:r>
          </w:p>
        </w:tc>
      </w:tr>
      <w:tr w:rsidR="00E54AB6" w:rsidRPr="0069362F" w:rsidTr="004A3C6B">
        <w:tblPrEx>
          <w:tblCellMar>
            <w:top w:w="0" w:type="dxa"/>
            <w:bottom w:w="0" w:type="dxa"/>
          </w:tblCellMar>
        </w:tblPrEx>
        <w:trPr>
          <w:cantSplit/>
          <w:trHeight w:val="576"/>
        </w:trPr>
        <w:tc>
          <w:tcPr>
            <w:tcW w:w="5812" w:type="dxa"/>
            <w:vMerge/>
          </w:tcPr>
          <w:p w:rsidR="00E54AB6" w:rsidRPr="0069362F" w:rsidRDefault="00E54AB6" w:rsidP="0069362F"/>
        </w:tc>
        <w:tc>
          <w:tcPr>
            <w:tcW w:w="3828" w:type="dxa"/>
          </w:tcPr>
          <w:p w:rsidR="00E54AB6" w:rsidRPr="0069362F" w:rsidRDefault="003D0FE2" w:rsidP="0069362F">
            <w:r>
              <w:t>Herr Dierksen, Tel. 2588</w:t>
            </w:r>
          </w:p>
          <w:p w:rsidR="00E54AB6" w:rsidRPr="0069362F" w:rsidRDefault="00E54AB6" w:rsidP="0069362F">
            <w:r w:rsidRPr="0069362F">
              <w:t xml:space="preserve">Bremerhaven, </w:t>
            </w:r>
            <w:r w:rsidR="003D0FE2">
              <w:t>18.08.2010</w:t>
            </w:r>
          </w:p>
        </w:tc>
      </w:tr>
    </w:tbl>
    <w:p w:rsidR="002B6533" w:rsidRPr="0069362F" w:rsidRDefault="00E54AB6" w:rsidP="0069362F">
      <w:pPr>
        <w:rPr>
          <w:color w:val="FF0000"/>
        </w:rPr>
      </w:pPr>
      <w:r w:rsidRPr="0069362F">
        <w:t xml:space="preserve"> </w:t>
      </w:r>
    </w:p>
    <w:p w:rsidR="001D754D" w:rsidRDefault="001D754D" w:rsidP="0069362F"/>
    <w:p w:rsidR="001D754D" w:rsidRPr="0069362F" w:rsidRDefault="001D754D" w:rsidP="0069362F"/>
    <w:p w:rsidR="00E54AB6" w:rsidRPr="0069362F" w:rsidRDefault="00E54AB6" w:rsidP="0069362F"/>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891"/>
        <w:gridCol w:w="3443"/>
      </w:tblGrid>
      <w:tr w:rsidR="009C0BA6" w:rsidRPr="0069362F" w:rsidTr="009C0BA6">
        <w:tblPrEx>
          <w:tblCellMar>
            <w:top w:w="0" w:type="dxa"/>
            <w:bottom w:w="0" w:type="dxa"/>
          </w:tblCellMar>
        </w:tblPrEx>
        <w:trPr>
          <w:cantSplit/>
        </w:trPr>
        <w:tc>
          <w:tcPr>
            <w:tcW w:w="9445" w:type="dxa"/>
            <w:gridSpan w:val="3"/>
            <w:tcMar>
              <w:top w:w="68" w:type="dxa"/>
              <w:bottom w:w="68" w:type="dxa"/>
            </w:tcMar>
            <w:vAlign w:val="center"/>
          </w:tcPr>
          <w:p w:rsidR="009C0BA6" w:rsidRPr="003D1405" w:rsidRDefault="009C0BA6" w:rsidP="009C0BA6">
            <w:pPr>
              <w:jc w:val="left"/>
              <w:rPr>
                <w:b/>
              </w:rPr>
            </w:pPr>
            <w:r w:rsidRPr="003D1405">
              <w:rPr>
                <w:b/>
                <w:sz w:val="24"/>
                <w:szCs w:val="24"/>
              </w:rPr>
              <w:t xml:space="preserve">Vorlage Nr. </w:t>
            </w:r>
            <w:r w:rsidR="007C6D6B">
              <w:rPr>
                <w:b/>
                <w:sz w:val="24"/>
                <w:szCs w:val="24"/>
              </w:rPr>
              <w:t>V 52/2010</w:t>
            </w:r>
          </w:p>
        </w:tc>
      </w:tr>
      <w:tr w:rsidR="00162F6C" w:rsidRPr="0069362F" w:rsidTr="00574158">
        <w:tblPrEx>
          <w:tblCellMar>
            <w:top w:w="0" w:type="dxa"/>
            <w:bottom w:w="0" w:type="dxa"/>
          </w:tblCellMar>
        </w:tblPrEx>
        <w:trPr>
          <w:cantSplit/>
          <w:trHeight w:val="418"/>
        </w:trPr>
        <w:tc>
          <w:tcPr>
            <w:tcW w:w="9445" w:type="dxa"/>
            <w:gridSpan w:val="3"/>
            <w:tcMar>
              <w:top w:w="68" w:type="dxa"/>
              <w:bottom w:w="68" w:type="dxa"/>
            </w:tcMar>
            <w:vAlign w:val="center"/>
          </w:tcPr>
          <w:p w:rsidR="00162F6C" w:rsidRPr="00D61906" w:rsidRDefault="006931EA" w:rsidP="008104EE">
            <w:pPr>
              <w:jc w:val="left"/>
              <w:rPr>
                <w:sz w:val="24"/>
                <w:szCs w:val="24"/>
              </w:rPr>
            </w:pPr>
            <w:r>
              <w:rPr>
                <w:sz w:val="24"/>
                <w:szCs w:val="24"/>
              </w:rPr>
              <w:t>für die Sitzung de</w:t>
            </w:r>
            <w:r w:rsidR="001D754D">
              <w:rPr>
                <w:sz w:val="24"/>
                <w:szCs w:val="24"/>
              </w:rPr>
              <w:t>r Stadtverordnetenversammlung</w:t>
            </w:r>
            <w:r w:rsidR="00B220F9">
              <w:rPr>
                <w:sz w:val="24"/>
                <w:szCs w:val="24"/>
              </w:rPr>
              <w:t xml:space="preserve"> am 02.09.</w:t>
            </w:r>
            <w:r w:rsidR="0050749F">
              <w:rPr>
                <w:sz w:val="24"/>
                <w:szCs w:val="24"/>
              </w:rPr>
              <w:t>20</w:t>
            </w:r>
            <w:r w:rsidR="008104EE">
              <w:rPr>
                <w:sz w:val="24"/>
                <w:szCs w:val="24"/>
              </w:rPr>
              <w:t>1</w:t>
            </w:r>
            <w:r w:rsidR="0050749F">
              <w:rPr>
                <w:sz w:val="24"/>
                <w:szCs w:val="24"/>
              </w:rPr>
              <w:t>0</w:t>
            </w:r>
          </w:p>
        </w:tc>
      </w:tr>
      <w:tr w:rsidR="009C0BA6" w:rsidRPr="0069362F" w:rsidTr="009C0BA6">
        <w:tblPrEx>
          <w:tblCellMar>
            <w:top w:w="0" w:type="dxa"/>
            <w:bottom w:w="0" w:type="dxa"/>
          </w:tblCellMar>
        </w:tblPrEx>
        <w:trPr>
          <w:cantSplit/>
        </w:trPr>
        <w:tc>
          <w:tcPr>
            <w:tcW w:w="4111" w:type="dxa"/>
            <w:tcMar>
              <w:top w:w="68" w:type="dxa"/>
              <w:bottom w:w="68" w:type="dxa"/>
            </w:tcMar>
            <w:vAlign w:val="center"/>
          </w:tcPr>
          <w:p w:rsidR="009C0BA6" w:rsidRPr="00D61906" w:rsidRDefault="009C0BA6" w:rsidP="0069362F">
            <w:pPr>
              <w:rPr>
                <w:sz w:val="24"/>
                <w:szCs w:val="24"/>
              </w:rPr>
            </w:pPr>
            <w:r>
              <w:rPr>
                <w:sz w:val="24"/>
                <w:szCs w:val="24"/>
              </w:rPr>
              <w:t>Beratung in öffentlicher Si</w:t>
            </w:r>
            <w:r>
              <w:rPr>
                <w:sz w:val="24"/>
                <w:szCs w:val="24"/>
              </w:rPr>
              <w:t>t</w:t>
            </w:r>
            <w:r>
              <w:rPr>
                <w:sz w:val="24"/>
                <w:szCs w:val="24"/>
              </w:rPr>
              <w:t>zung:</w:t>
            </w:r>
          </w:p>
        </w:tc>
        <w:tc>
          <w:tcPr>
            <w:tcW w:w="1891" w:type="dxa"/>
            <w:vAlign w:val="center"/>
          </w:tcPr>
          <w:p w:rsidR="009C0BA6" w:rsidRPr="004A3C6B" w:rsidRDefault="003D0FE2" w:rsidP="009C0BA6">
            <w:pPr>
              <w:jc w:val="center"/>
              <w:rPr>
                <w:b/>
                <w:sz w:val="24"/>
                <w:szCs w:val="24"/>
              </w:rPr>
            </w:pPr>
            <w:r>
              <w:rPr>
                <w:b/>
                <w:sz w:val="24"/>
                <w:szCs w:val="24"/>
              </w:rPr>
              <w:t>Ja</w:t>
            </w:r>
          </w:p>
        </w:tc>
        <w:tc>
          <w:tcPr>
            <w:tcW w:w="3443" w:type="dxa"/>
            <w:tcMar>
              <w:top w:w="68" w:type="dxa"/>
              <w:bottom w:w="68" w:type="dxa"/>
            </w:tcMar>
            <w:vAlign w:val="center"/>
          </w:tcPr>
          <w:p w:rsidR="009C0BA6" w:rsidRPr="0069362F" w:rsidRDefault="009C0BA6" w:rsidP="009C0BA6">
            <w:pPr>
              <w:jc w:val="right"/>
            </w:pPr>
            <w:r w:rsidRPr="0069362F">
              <w:t xml:space="preserve">Anzahl Anlagen: </w:t>
            </w:r>
            <w:r w:rsidR="003D0FE2">
              <w:rPr>
                <w:snapToGrid w:val="0"/>
              </w:rPr>
              <w:t>2</w:t>
            </w:r>
          </w:p>
        </w:tc>
      </w:tr>
    </w:tbl>
    <w:p w:rsidR="00E54AB6" w:rsidRPr="0069362F" w:rsidRDefault="00E54AB6" w:rsidP="0069362F"/>
    <w:p w:rsidR="00E54AB6" w:rsidRPr="0069362F" w:rsidRDefault="00E54AB6" w:rsidP="0069362F"/>
    <w:p w:rsidR="00E54AB6" w:rsidRPr="0069362F" w:rsidRDefault="00E54AB6" w:rsidP="0069362F"/>
    <w:p w:rsidR="003D0FE2" w:rsidRDefault="003D0FE2" w:rsidP="0069362F">
      <w:pPr>
        <w:rPr>
          <w:b/>
        </w:rPr>
      </w:pPr>
      <w:r>
        <w:rPr>
          <w:b/>
        </w:rPr>
        <w:t xml:space="preserve">Einführung einer gesplitteten Kanalbenutzungsgebühr in der Stadt Bremerhaven </w:t>
      </w:r>
    </w:p>
    <w:p w:rsidR="003D0FE2" w:rsidRDefault="003D0FE2" w:rsidP="00B360CD">
      <w:pPr>
        <w:ind w:left="567" w:hanging="567"/>
        <w:rPr>
          <w:b/>
        </w:rPr>
      </w:pPr>
      <w:r>
        <w:rPr>
          <w:b/>
        </w:rPr>
        <w:t>hier:</w:t>
      </w:r>
      <w:r w:rsidR="00B360CD">
        <w:rPr>
          <w:b/>
        </w:rPr>
        <w:tab/>
      </w:r>
      <w:r>
        <w:rPr>
          <w:b/>
        </w:rPr>
        <w:t xml:space="preserve">Grundsatzentscheidung und </w:t>
      </w:r>
    </w:p>
    <w:p w:rsidR="003D0FE2" w:rsidRDefault="003D0FE2" w:rsidP="00B360CD">
      <w:pPr>
        <w:ind w:left="567"/>
        <w:rPr>
          <w:b/>
        </w:rPr>
      </w:pPr>
      <w:r>
        <w:rPr>
          <w:b/>
        </w:rPr>
        <w:t>Ortsgesetz zur Änderung entwässerungsrechtlicher Vorschriften</w:t>
      </w:r>
    </w:p>
    <w:p w:rsidR="00E54AB6" w:rsidRPr="006503C7" w:rsidRDefault="00E54AB6" w:rsidP="0069362F">
      <w:pPr>
        <w:rPr>
          <w:b/>
        </w:rPr>
      </w:pPr>
    </w:p>
    <w:p w:rsidR="00E54AB6" w:rsidRDefault="00E54AB6" w:rsidP="0069362F"/>
    <w:p w:rsidR="006503C7" w:rsidRPr="0069362F" w:rsidRDefault="006503C7" w:rsidP="0069362F"/>
    <w:p w:rsidR="00E54AB6" w:rsidRPr="003D0FE2" w:rsidRDefault="003D0FE2" w:rsidP="0069362F">
      <w:pPr>
        <w:rPr>
          <w:vanish/>
          <w:color w:val="FF0000"/>
        </w:rPr>
      </w:pPr>
      <w:r w:rsidRPr="003D0FE2">
        <w:rPr>
          <w:vanish/>
          <w:color w:val="FF0000"/>
        </w:rPr>
        <w:t xml:space="preserve">@-&gt;  </w:t>
      </w:r>
    </w:p>
    <w:p w:rsidR="003D0FE2" w:rsidRDefault="003D0FE2" w:rsidP="003D0FE2">
      <w:pPr>
        <w:rPr>
          <w:rFonts w:cs="Arial"/>
          <w:b/>
        </w:rPr>
      </w:pPr>
      <w:bookmarkStart w:id="0" w:name="VLGSachText__START__45373"/>
      <w:bookmarkEnd w:id="0"/>
      <w:r w:rsidRPr="003D0FE2">
        <w:rPr>
          <w:vanish/>
        </w:rPr>
        <w:t xml:space="preserve"> </w:t>
      </w:r>
      <w:r>
        <w:rPr>
          <w:rFonts w:cs="Arial"/>
          <w:b/>
        </w:rPr>
        <w:t xml:space="preserve">A </w:t>
      </w:r>
      <w:r w:rsidRPr="00475993">
        <w:rPr>
          <w:rFonts w:cs="Arial"/>
          <w:b/>
        </w:rPr>
        <w:t>Problem</w:t>
      </w:r>
    </w:p>
    <w:p w:rsidR="003D0FE2" w:rsidRDefault="003D0FE2" w:rsidP="003D0FE2">
      <w:pPr>
        <w:rPr>
          <w:rFonts w:cs="Arial"/>
        </w:rPr>
      </w:pPr>
      <w:r>
        <w:rPr>
          <w:rFonts w:cs="Arial"/>
        </w:rPr>
        <w:t xml:space="preserve">Durch Beschluss vom </w:t>
      </w:r>
      <w:smartTag w:uri="urn:schemas-microsoft-com:office:smarttags" w:element="date">
        <w:smartTagPr>
          <w:attr w:name="Year" w:val="2008"/>
          <w:attr w:name="Day" w:val="02"/>
          <w:attr w:name="Month" w:val="09"/>
          <w:attr w:name="ls" w:val="trans"/>
        </w:smartTagPr>
        <w:r>
          <w:rPr>
            <w:rFonts w:cs="Arial"/>
          </w:rPr>
          <w:t>02.09.2008</w:t>
        </w:r>
      </w:smartTag>
      <w:r>
        <w:rPr>
          <w:rFonts w:cs="Arial"/>
        </w:rPr>
        <w:t xml:space="preserve"> hat der Senat im Rahmen eines Grundsatzbeschlusses en</w:t>
      </w:r>
      <w:r>
        <w:rPr>
          <w:rFonts w:cs="Arial"/>
        </w:rPr>
        <w:t>t</w:t>
      </w:r>
      <w:r>
        <w:rPr>
          <w:rFonts w:cs="Arial"/>
        </w:rPr>
        <w:t>schieden, in der Stadtgemeinde Bremen ab 2011 eine gesplittete Entwässerungsgebühr ei</w:t>
      </w:r>
      <w:r>
        <w:rPr>
          <w:rFonts w:cs="Arial"/>
        </w:rPr>
        <w:t>n</w:t>
      </w:r>
      <w:r>
        <w:rPr>
          <w:rFonts w:cs="Arial"/>
        </w:rPr>
        <w:t>zuführen. Der Senator für Umwelt, Bau, Verkehr und Europa wurde beauftragt, einen Vo</w:t>
      </w:r>
      <w:r>
        <w:rPr>
          <w:rFonts w:cs="Arial"/>
        </w:rPr>
        <w:t>r</w:t>
      </w:r>
      <w:r>
        <w:rPr>
          <w:rFonts w:cs="Arial"/>
        </w:rPr>
        <w:t>schlag für ein Gebührenmodell auszuarbeiten, welches die Rechtssicherheit und Gebühreng</w:t>
      </w:r>
      <w:r>
        <w:rPr>
          <w:rFonts w:cs="Arial"/>
        </w:rPr>
        <w:t>e</w:t>
      </w:r>
      <w:r>
        <w:rPr>
          <w:rFonts w:cs="Arial"/>
        </w:rPr>
        <w:t>rechtigkeit erhöht und dabei möglichst geringe Umstellungskosten verursacht. Es muss nu</w:t>
      </w:r>
      <w:r>
        <w:rPr>
          <w:rFonts w:cs="Arial"/>
        </w:rPr>
        <w:t>n</w:t>
      </w:r>
      <w:r>
        <w:rPr>
          <w:rFonts w:cs="Arial"/>
        </w:rPr>
        <w:t>mehr entschieden werden, ob sich Bremerhaven der Vorgehensweise der Stadtgemeinde Bremen a</w:t>
      </w:r>
      <w:r>
        <w:rPr>
          <w:rFonts w:cs="Arial"/>
        </w:rPr>
        <w:t>n</w:t>
      </w:r>
      <w:r>
        <w:rPr>
          <w:rFonts w:cs="Arial"/>
        </w:rPr>
        <w:t>schließt.</w:t>
      </w:r>
    </w:p>
    <w:p w:rsidR="003D0FE2" w:rsidRDefault="003D0FE2" w:rsidP="003D0FE2">
      <w:pPr>
        <w:rPr>
          <w:rFonts w:cs="Arial"/>
        </w:rPr>
      </w:pPr>
    </w:p>
    <w:p w:rsidR="003D0FE2" w:rsidRDefault="003D0FE2" w:rsidP="003D0FE2">
      <w:pPr>
        <w:rPr>
          <w:rFonts w:cs="Arial"/>
        </w:rPr>
      </w:pPr>
      <w:r>
        <w:rPr>
          <w:rFonts w:cs="Arial"/>
        </w:rPr>
        <w:t>In Bremerhaven wird die (mit der Bremer Entwässerungsgebühr vergleichbare) Kanalbenu</w:t>
      </w:r>
      <w:r>
        <w:rPr>
          <w:rFonts w:cs="Arial"/>
        </w:rPr>
        <w:t>t</w:t>
      </w:r>
      <w:r>
        <w:rPr>
          <w:rFonts w:cs="Arial"/>
        </w:rPr>
        <w:t xml:space="preserve">zungsgebühr seit jeher auf der Grundlage des sog. </w:t>
      </w:r>
      <w:r w:rsidRPr="007C315D">
        <w:rPr>
          <w:rFonts w:cs="Arial"/>
          <w:i/>
        </w:rPr>
        <w:t>Frischwassermaßstabes</w:t>
      </w:r>
      <w:r>
        <w:rPr>
          <w:rFonts w:cs="Arial"/>
        </w:rPr>
        <w:t xml:space="preserve"> festgesetzt. D</w:t>
      </w:r>
      <w:r>
        <w:rPr>
          <w:rFonts w:cs="Arial"/>
        </w:rPr>
        <w:t>a</w:t>
      </w:r>
      <w:r>
        <w:rPr>
          <w:rFonts w:cs="Arial"/>
        </w:rPr>
        <w:t>bei wird davon ausgegangen, dass das Frischwasser, das einem Grundstück von einem Wasse</w:t>
      </w:r>
      <w:r>
        <w:rPr>
          <w:rFonts w:cs="Arial"/>
        </w:rPr>
        <w:t>r</w:t>
      </w:r>
      <w:r>
        <w:rPr>
          <w:rFonts w:cs="Arial"/>
        </w:rPr>
        <w:t>versorger zugeführt wird, auch wieder als Schmutzwasser über die Kanalisation entsorgt wird. Der Gebü</w:t>
      </w:r>
      <w:r>
        <w:rPr>
          <w:rFonts w:cs="Arial"/>
        </w:rPr>
        <w:t>h</w:t>
      </w:r>
      <w:r>
        <w:rPr>
          <w:rFonts w:cs="Arial"/>
        </w:rPr>
        <w:t>renmaßstab „bezogenes Frischwasser“ berücksichtigt jedoch nicht extra, dass auf den befestigten Flächen eines Grundstücks gesammeltes Niederschlagswasser ebenfalls über die Kanalisation entsorgt wird. Die dadurch entstehenden Kosten sind in der Kanalbenu</w:t>
      </w:r>
      <w:r>
        <w:rPr>
          <w:rFonts w:cs="Arial"/>
        </w:rPr>
        <w:t>t</w:t>
      </w:r>
      <w:r>
        <w:rPr>
          <w:rFonts w:cs="Arial"/>
        </w:rPr>
        <w:t>zungsgebühr pauschal enthalten.</w:t>
      </w:r>
    </w:p>
    <w:p w:rsidR="003D0FE2" w:rsidRDefault="003D0FE2" w:rsidP="003D0FE2">
      <w:pPr>
        <w:rPr>
          <w:rFonts w:cs="Arial"/>
        </w:rPr>
      </w:pPr>
    </w:p>
    <w:p w:rsidR="003D0FE2" w:rsidRDefault="003D0FE2" w:rsidP="003D0FE2">
      <w:pPr>
        <w:rPr>
          <w:rFonts w:cs="Arial"/>
        </w:rPr>
      </w:pPr>
      <w:r>
        <w:rPr>
          <w:rFonts w:cs="Arial"/>
        </w:rPr>
        <w:t>Dieses Gebührensystem wird jedoch mittlerweile durch die Rechtsprechung der Verwaltung</w:t>
      </w:r>
      <w:r>
        <w:rPr>
          <w:rFonts w:cs="Arial"/>
        </w:rPr>
        <w:t>s</w:t>
      </w:r>
      <w:r>
        <w:rPr>
          <w:rFonts w:cs="Arial"/>
        </w:rPr>
        <w:t>gerichte nicht mehr als verursachergerecht bzw. als mit dem Gleichheitsgrundsatz des Grun</w:t>
      </w:r>
      <w:r>
        <w:rPr>
          <w:rFonts w:cs="Arial"/>
        </w:rPr>
        <w:t>d</w:t>
      </w:r>
      <w:r>
        <w:rPr>
          <w:rFonts w:cs="Arial"/>
        </w:rPr>
        <w:t>gesetzes übereinstimmend angesehen. Die Gerichte argumentieren dabei wie folgt:</w:t>
      </w:r>
    </w:p>
    <w:p w:rsidR="003D0FE2" w:rsidRDefault="003D0FE2" w:rsidP="003D0FE2">
      <w:pPr>
        <w:rPr>
          <w:rFonts w:cs="Arial"/>
        </w:rPr>
      </w:pPr>
    </w:p>
    <w:p w:rsidR="003D0FE2" w:rsidRDefault="003D0FE2" w:rsidP="003D0FE2">
      <w:pPr>
        <w:rPr>
          <w:rFonts w:cs="Arial"/>
        </w:rPr>
      </w:pPr>
      <w:r>
        <w:rPr>
          <w:rFonts w:cs="Arial"/>
        </w:rPr>
        <w:t>Auf einem kleinen Grundstück mit kleiner versiegelter (Dach-, Hof-)Fläche, auf dem viele Pe</w:t>
      </w:r>
      <w:r>
        <w:rPr>
          <w:rFonts w:cs="Arial"/>
        </w:rPr>
        <w:t>r</w:t>
      </w:r>
      <w:r>
        <w:rPr>
          <w:rFonts w:cs="Arial"/>
        </w:rPr>
        <w:t>sonen wohnen (Beispiel: Mietshaus im Stadtzentrum), fällt naturgemäß viel Schmut</w:t>
      </w:r>
      <w:r>
        <w:rPr>
          <w:rFonts w:cs="Arial"/>
        </w:rPr>
        <w:t>z</w:t>
      </w:r>
      <w:r>
        <w:rPr>
          <w:rFonts w:cs="Arial"/>
        </w:rPr>
        <w:t>wasser aber wenig Niederschlagswasser an. Dagegen fällt auf einem großen Grundstück, auf dem wenige oder keine Personen wohnen, das aber über eine große versiegelte Fläche verfügt (Beispiel: Baumarkt oder Einkaufszentrum mit befestigtem Parkplatz), wenig Schmut</w:t>
      </w:r>
      <w:r>
        <w:rPr>
          <w:rFonts w:cs="Arial"/>
        </w:rPr>
        <w:t>z</w:t>
      </w:r>
      <w:r>
        <w:rPr>
          <w:rFonts w:cs="Arial"/>
        </w:rPr>
        <w:t>wasser aber viel Niederschlagswasser an. In beiden Fällen wird aber der gleiche Kubikmeterpreis für das entsorgte Abwasser fällig. Für das erwähnte Mietshaus werden also tatsächlich verhäl</w:t>
      </w:r>
      <w:r>
        <w:rPr>
          <w:rFonts w:cs="Arial"/>
        </w:rPr>
        <w:t>t</w:t>
      </w:r>
      <w:r>
        <w:rPr>
          <w:rFonts w:cs="Arial"/>
        </w:rPr>
        <w:t>nismäßig hohe Kosten für die Niederschlagswasserbeseitigung fällig, während der Ba</w:t>
      </w:r>
      <w:r>
        <w:rPr>
          <w:rFonts w:cs="Arial"/>
        </w:rPr>
        <w:t>u</w:t>
      </w:r>
      <w:r>
        <w:rPr>
          <w:rFonts w:cs="Arial"/>
        </w:rPr>
        <w:t>markt/das Einkaufszentrum wegen der geringeren Schmutzwassermenge auch weniger Ko</w:t>
      </w:r>
      <w:r>
        <w:rPr>
          <w:rFonts w:cs="Arial"/>
        </w:rPr>
        <w:t>s</w:t>
      </w:r>
      <w:r>
        <w:rPr>
          <w:rFonts w:cs="Arial"/>
        </w:rPr>
        <w:t>ten für die Ni</w:t>
      </w:r>
      <w:r>
        <w:rPr>
          <w:rFonts w:cs="Arial"/>
        </w:rPr>
        <w:t>e</w:t>
      </w:r>
      <w:r>
        <w:rPr>
          <w:rFonts w:cs="Arial"/>
        </w:rPr>
        <w:t>derschlagswasserbeseitigung tragen muss, obwohl auf dem Grundstück viel mehr Niede</w:t>
      </w:r>
      <w:r>
        <w:rPr>
          <w:rFonts w:cs="Arial"/>
        </w:rPr>
        <w:t>r</w:t>
      </w:r>
      <w:r>
        <w:rPr>
          <w:rFonts w:cs="Arial"/>
        </w:rPr>
        <w:t>schlagswasser gesammelt und in die Kanalisation eingeleitet wird.</w:t>
      </w:r>
    </w:p>
    <w:p w:rsidR="003D0FE2" w:rsidRDefault="003D0FE2" w:rsidP="003D0FE2">
      <w:pPr>
        <w:rPr>
          <w:rFonts w:cs="Arial"/>
        </w:rPr>
      </w:pPr>
    </w:p>
    <w:p w:rsidR="003D0FE2" w:rsidRDefault="003D0FE2" w:rsidP="003D0FE2">
      <w:pPr>
        <w:rPr>
          <w:rFonts w:cs="Arial"/>
        </w:rPr>
      </w:pPr>
      <w:r>
        <w:rPr>
          <w:rFonts w:cs="Arial"/>
        </w:rPr>
        <w:lastRenderedPageBreak/>
        <w:t>Bisher wurde dieses Ergebnis von den Verwaltungsgerichten hi</w:t>
      </w:r>
      <w:r>
        <w:rPr>
          <w:rFonts w:cs="Arial"/>
        </w:rPr>
        <w:t>n</w:t>
      </w:r>
      <w:r>
        <w:rPr>
          <w:rFonts w:cs="Arial"/>
        </w:rPr>
        <w:t xml:space="preserve">genommen, </w:t>
      </w:r>
      <w:r w:rsidRPr="00EB54CD">
        <w:rPr>
          <w:rFonts w:cs="Arial"/>
        </w:rPr>
        <w:t xml:space="preserve">wenn </w:t>
      </w:r>
    </w:p>
    <w:p w:rsidR="003D0FE2" w:rsidRDefault="003D0FE2" w:rsidP="003D0FE2">
      <w:pPr>
        <w:ind w:left="180" w:hanging="180"/>
        <w:rPr>
          <w:rFonts w:cs="Arial"/>
        </w:rPr>
      </w:pPr>
      <w:r>
        <w:rPr>
          <w:rFonts w:cs="Arial"/>
        </w:rPr>
        <w:t>-</w:t>
      </w:r>
      <w:r>
        <w:rPr>
          <w:rFonts w:cs="Arial"/>
        </w:rPr>
        <w:tab/>
        <w:t>die Kosten für die Beseitigung des in die Kanalisation eingeleiteten Niederschlagswassers g</w:t>
      </w:r>
      <w:r>
        <w:rPr>
          <w:rFonts w:cs="Arial"/>
        </w:rPr>
        <w:t>e</w:t>
      </w:r>
      <w:r>
        <w:rPr>
          <w:rFonts w:cs="Arial"/>
        </w:rPr>
        <w:t>ring waren oder</w:t>
      </w:r>
    </w:p>
    <w:p w:rsidR="003D0FE2" w:rsidRDefault="003D0FE2" w:rsidP="003D0FE2">
      <w:pPr>
        <w:ind w:left="180" w:hanging="180"/>
        <w:rPr>
          <w:rFonts w:cs="Arial"/>
        </w:rPr>
      </w:pPr>
      <w:r>
        <w:rPr>
          <w:rFonts w:cs="Arial"/>
        </w:rPr>
        <w:t>-</w:t>
      </w:r>
      <w:r>
        <w:rPr>
          <w:rFonts w:cs="Arial"/>
        </w:rPr>
        <w:tab/>
        <w:t>eine Kommune durch eine verhältnismäßig homogene und wenig verdichtete Bebauung g</w:t>
      </w:r>
      <w:r>
        <w:rPr>
          <w:rFonts w:cs="Arial"/>
        </w:rPr>
        <w:t>e</w:t>
      </w:r>
      <w:r>
        <w:rPr>
          <w:rFonts w:cs="Arial"/>
        </w:rPr>
        <w:t>prägt war, in der es keine nennenswerte Anzahl kleinflächiger Grundstücke mit hohem Wa</w:t>
      </w:r>
      <w:r>
        <w:rPr>
          <w:rFonts w:cs="Arial"/>
        </w:rPr>
        <w:t>s</w:t>
      </w:r>
      <w:r>
        <w:rPr>
          <w:rFonts w:cs="Arial"/>
        </w:rPr>
        <w:t>serverbrauch bzw. großflächig befestigter Grundstücke mit geringem Wasserve</w:t>
      </w:r>
      <w:r>
        <w:rPr>
          <w:rFonts w:cs="Arial"/>
        </w:rPr>
        <w:t>r</w:t>
      </w:r>
      <w:r>
        <w:rPr>
          <w:rFonts w:cs="Arial"/>
        </w:rPr>
        <w:t>brauch gab.</w:t>
      </w:r>
    </w:p>
    <w:p w:rsidR="003D0FE2" w:rsidRDefault="003D0FE2" w:rsidP="003D0FE2">
      <w:pPr>
        <w:rPr>
          <w:rFonts w:cs="Arial"/>
        </w:rPr>
      </w:pPr>
    </w:p>
    <w:p w:rsidR="003D0FE2" w:rsidRDefault="003D0FE2" w:rsidP="003D0FE2">
      <w:pPr>
        <w:rPr>
          <w:rFonts w:cs="Arial"/>
        </w:rPr>
      </w:pPr>
      <w:r>
        <w:rPr>
          <w:rFonts w:cs="Arial"/>
        </w:rPr>
        <w:t>Das OVG Münster hat zuletzt eine Grundsatzentscheidung zur Zulässigkeit von Ve</w:t>
      </w:r>
      <w:r>
        <w:rPr>
          <w:rFonts w:cs="Arial"/>
        </w:rPr>
        <w:t>r</w:t>
      </w:r>
      <w:r>
        <w:rPr>
          <w:rFonts w:cs="Arial"/>
        </w:rPr>
        <w:t xml:space="preserve">fahren der Abwassergebührenberechnung gefällt (Az.: 9 A 3648/04 vom </w:t>
      </w:r>
      <w:smartTag w:uri="urn:schemas-microsoft-com:office:smarttags" w:element="date">
        <w:smartTagPr>
          <w:attr w:name="Year" w:val="2007"/>
          <w:attr w:name="Day" w:val="18"/>
          <w:attr w:name="Month" w:val="12"/>
          <w:attr w:name="ls" w:val="trans"/>
        </w:smartTagPr>
        <w:r>
          <w:rPr>
            <w:rFonts w:cs="Arial"/>
          </w:rPr>
          <w:t>18.12.2007</w:t>
        </w:r>
      </w:smartTag>
      <w:r>
        <w:rPr>
          <w:rFonts w:cs="Arial"/>
        </w:rPr>
        <w:t xml:space="preserve">; rechtskräftig seit dem </w:t>
      </w:r>
      <w:smartTag w:uri="urn:schemas-microsoft-com:office:smarttags" w:element="date">
        <w:smartTagPr>
          <w:attr w:name="Year" w:val="2008"/>
          <w:attr w:name="Day" w:val="13"/>
          <w:attr w:name="Month" w:val="05"/>
          <w:attr w:name="ls" w:val="trans"/>
        </w:smartTagPr>
        <w:r>
          <w:rPr>
            <w:rFonts w:cs="Arial"/>
          </w:rPr>
          <w:t>13.05.2008</w:t>
        </w:r>
      </w:smartTag>
      <w:r>
        <w:rPr>
          <w:rFonts w:cs="Arial"/>
        </w:rPr>
        <w:t>); danach ist in Nordrhein-Westfalen die Berechnung von Abwassergebühren allein nach dem Frischwassermaßstab nicht mehr zulässig, die Einführung der gesplitteten Abwa</w:t>
      </w:r>
      <w:r>
        <w:rPr>
          <w:rFonts w:cs="Arial"/>
        </w:rPr>
        <w:t>s</w:t>
      </w:r>
      <w:r>
        <w:rPr>
          <w:rFonts w:cs="Arial"/>
        </w:rPr>
        <w:t>serg</w:t>
      </w:r>
      <w:r>
        <w:rPr>
          <w:rFonts w:cs="Arial"/>
        </w:rPr>
        <w:t>e</w:t>
      </w:r>
      <w:r>
        <w:rPr>
          <w:rFonts w:cs="Arial"/>
        </w:rPr>
        <w:t>bühr zwingend notwendig.</w:t>
      </w:r>
    </w:p>
    <w:p w:rsidR="003D0FE2" w:rsidRDefault="003D0FE2" w:rsidP="003D0FE2">
      <w:pPr>
        <w:rPr>
          <w:rFonts w:cs="Arial"/>
        </w:rPr>
      </w:pPr>
    </w:p>
    <w:p w:rsidR="003D0FE2" w:rsidRDefault="003D0FE2" w:rsidP="003D0FE2">
      <w:pPr>
        <w:rPr>
          <w:rFonts w:cs="Arial"/>
        </w:rPr>
      </w:pPr>
      <w:r>
        <w:rPr>
          <w:rFonts w:cs="Arial"/>
        </w:rPr>
        <w:t>Bremerhaven sollte unter diesen Umständen darauf eingestellt sein, dass auch die bremischen Verwaltungsgerichte den Frischwassermaßstab über kurz oder lang für rechtswidrig erklären, insbesondere wenn die Stadtgemeinde Bremen eine gesplittete Gebühr einführt. Die meisten norddeutschen Großstädte führen die getrennte Gebühr ebenfalls ein, soweit dies noch nicht geschehen ist.</w:t>
      </w:r>
    </w:p>
    <w:p w:rsidR="003D0FE2" w:rsidRDefault="003D0FE2" w:rsidP="003D0FE2">
      <w:pPr>
        <w:rPr>
          <w:rFonts w:cs="Arial"/>
        </w:rPr>
      </w:pPr>
    </w:p>
    <w:p w:rsidR="003D0FE2" w:rsidRDefault="003D0FE2" w:rsidP="003D0FE2">
      <w:pPr>
        <w:rPr>
          <w:rFonts w:cs="Arial"/>
          <w:b/>
        </w:rPr>
      </w:pPr>
      <w:r w:rsidRPr="00AF26FA">
        <w:rPr>
          <w:rFonts w:cs="Arial"/>
          <w:b/>
        </w:rPr>
        <w:t>B Lösung</w:t>
      </w:r>
    </w:p>
    <w:p w:rsidR="003D0FE2" w:rsidRDefault="003D0FE2" w:rsidP="003D0FE2">
      <w:pPr>
        <w:rPr>
          <w:rFonts w:cs="Arial"/>
        </w:rPr>
      </w:pPr>
      <w:r>
        <w:rPr>
          <w:rFonts w:cs="Arial"/>
        </w:rPr>
        <w:t>Es sollte entschieden werden, dass auch in Bremerhaven zum nächstmöglichen Zeitpunkt eine gesplittete Kanalbenutzungsgebühr eingeführt wird. Auch wenn ein absolut gerechtes Gebü</w:t>
      </w:r>
      <w:r>
        <w:rPr>
          <w:rFonts w:cs="Arial"/>
        </w:rPr>
        <w:t>h</w:t>
      </w:r>
      <w:r>
        <w:rPr>
          <w:rFonts w:cs="Arial"/>
        </w:rPr>
        <w:t>rensystem wegen der Unterschiedlichkeit der Fälle kaum erreichbar sein dürfte und von der Rechtsprechung auch nicht verlangt wird, trägt eine gesplittete Kanalbenutzungsgebühr j</w:t>
      </w:r>
      <w:r>
        <w:rPr>
          <w:rFonts w:cs="Arial"/>
        </w:rPr>
        <w:t>e</w:t>
      </w:r>
      <w:r>
        <w:rPr>
          <w:rFonts w:cs="Arial"/>
        </w:rPr>
        <w:t>doch in jedem Fall zur Erhöhung der Gebührengerechtigkeit bei.</w:t>
      </w:r>
    </w:p>
    <w:p w:rsidR="003D0FE2" w:rsidRDefault="003D0FE2" w:rsidP="003D0FE2">
      <w:pPr>
        <w:rPr>
          <w:rFonts w:cs="Arial"/>
        </w:rPr>
      </w:pPr>
    </w:p>
    <w:p w:rsidR="003D0FE2" w:rsidRDefault="003D0FE2" w:rsidP="003D0FE2">
      <w:pPr>
        <w:rPr>
          <w:rFonts w:cs="Arial"/>
        </w:rPr>
      </w:pPr>
      <w:r>
        <w:rPr>
          <w:rFonts w:cs="Arial"/>
        </w:rPr>
        <w:t>Bei einer Einführung sollten möglichst die Regeln übernommen werden, wie sie künftig in der Stadtgemeinde Br</w:t>
      </w:r>
      <w:r>
        <w:rPr>
          <w:rFonts w:cs="Arial"/>
        </w:rPr>
        <w:t>e</w:t>
      </w:r>
      <w:r>
        <w:rPr>
          <w:rFonts w:cs="Arial"/>
        </w:rPr>
        <w:t>men gelten sollen. Der Senat hat seinerzeit beschlossen, für die gesplittete Gebühr das sog. „Freiburger Modell“ zugrunde zu legen, weil dieses die geringsten Umste</w:t>
      </w:r>
      <w:r>
        <w:rPr>
          <w:rFonts w:cs="Arial"/>
        </w:rPr>
        <w:t>l</w:t>
      </w:r>
      <w:r>
        <w:rPr>
          <w:rFonts w:cs="Arial"/>
        </w:rPr>
        <w:t>lungskosten verursacht und als rechtssicher angesehen wird. Dabei wird die gesplittete A</w:t>
      </w:r>
      <w:r>
        <w:rPr>
          <w:rFonts w:cs="Arial"/>
        </w:rPr>
        <w:t>b</w:t>
      </w:r>
      <w:r>
        <w:rPr>
          <w:rFonts w:cs="Arial"/>
        </w:rPr>
        <w:t>wassergebühr nur bei Grundstücken ab e</w:t>
      </w:r>
      <w:r>
        <w:rPr>
          <w:rFonts w:cs="Arial"/>
        </w:rPr>
        <w:t>i</w:t>
      </w:r>
      <w:r>
        <w:rPr>
          <w:rFonts w:cs="Arial"/>
        </w:rPr>
        <w:t>ner Größenordnung von 1.000 m</w:t>
      </w:r>
      <w:r w:rsidRPr="00AF26FA">
        <w:rPr>
          <w:rFonts w:cs="Arial"/>
          <w:vertAlign w:val="superscript"/>
        </w:rPr>
        <w:t>2</w:t>
      </w:r>
      <w:r>
        <w:rPr>
          <w:rFonts w:cs="Arial"/>
        </w:rPr>
        <w:t xml:space="preserve"> befestigter und an die öffentliche Kanalisation angeschlossener Fläche verbindlich angewandt. Die Nutzer klein</w:t>
      </w:r>
      <w:r>
        <w:rPr>
          <w:rFonts w:cs="Arial"/>
        </w:rPr>
        <w:t>e</w:t>
      </w:r>
      <w:r>
        <w:rPr>
          <w:rFonts w:cs="Arial"/>
        </w:rPr>
        <w:t>rer Grundstücke bezahlen entsprechend dem Frisc</w:t>
      </w:r>
      <w:r>
        <w:rPr>
          <w:rFonts w:cs="Arial"/>
        </w:rPr>
        <w:t>h</w:t>
      </w:r>
      <w:r>
        <w:rPr>
          <w:rFonts w:cs="Arial"/>
        </w:rPr>
        <w:t>wassermaßstab eine Abwassergebühr wie bisher. Allerdings kann von jedem Grundstückseigentümer mit einer Fläche unterhalb der 1.000 m</w:t>
      </w:r>
      <w:r w:rsidRPr="00AF26FA">
        <w:rPr>
          <w:rFonts w:cs="Arial"/>
          <w:vertAlign w:val="superscript"/>
        </w:rPr>
        <w:t>2</w:t>
      </w:r>
      <w:r>
        <w:rPr>
          <w:rFonts w:cs="Arial"/>
        </w:rPr>
        <w:t>-Grenze ein Antrag auf g</w:t>
      </w:r>
      <w:r>
        <w:rPr>
          <w:rFonts w:cs="Arial"/>
        </w:rPr>
        <w:t>e</w:t>
      </w:r>
      <w:r>
        <w:rPr>
          <w:rFonts w:cs="Arial"/>
        </w:rPr>
        <w:t>trennte Veranlagung gestellt werden. Ein Gebührenmodell hätte dann folgende Stru</w:t>
      </w:r>
      <w:r>
        <w:rPr>
          <w:rFonts w:cs="Arial"/>
        </w:rPr>
        <w:t>k</w:t>
      </w:r>
      <w:r>
        <w:rPr>
          <w:rFonts w:cs="Arial"/>
        </w:rPr>
        <w:t>tur:</w:t>
      </w:r>
    </w:p>
    <w:p w:rsidR="003D0FE2" w:rsidRDefault="003D0FE2" w:rsidP="003D0FE2">
      <w:pPr>
        <w:rPr>
          <w:rFonts w:cs="Arial"/>
        </w:rPr>
      </w:pPr>
    </w:p>
    <w:p w:rsidR="003D0FE2" w:rsidRPr="00924FE2" w:rsidRDefault="003D0FE2" w:rsidP="003D0FE2">
      <w:pPr>
        <w:rPr>
          <w:rFonts w:cs="Arial"/>
          <w:vanish/>
          <w:specVanish/>
        </w:rPr>
      </w:pPr>
    </w:p>
    <w:tbl>
      <w:tblPr>
        <w:tblW w:w="9468" w:type="dxa"/>
        <w:tblLayout w:type="fixed"/>
        <w:tblLook w:val="01E0" w:firstRow="1" w:lastRow="1" w:firstColumn="1" w:lastColumn="1" w:noHBand="0" w:noVBand="0"/>
      </w:tblPr>
      <w:tblGrid>
        <w:gridCol w:w="430"/>
        <w:gridCol w:w="2338"/>
        <w:gridCol w:w="2674"/>
        <w:gridCol w:w="296"/>
        <w:gridCol w:w="1750"/>
        <w:gridCol w:w="1980"/>
      </w:tblGrid>
      <w:tr w:rsidR="003D0FE2" w:rsidRPr="00437BAD" w:rsidTr="00437BAD">
        <w:tc>
          <w:tcPr>
            <w:tcW w:w="430" w:type="dxa"/>
            <w:shd w:val="clear" w:color="auto" w:fill="auto"/>
          </w:tcPr>
          <w:p w:rsidR="003D0FE2" w:rsidRPr="00437BAD" w:rsidRDefault="003D0FE2" w:rsidP="003D0FE2">
            <w:pPr>
              <w:rPr>
                <w:rFonts w:cs="Arial"/>
              </w:rPr>
            </w:pPr>
          </w:p>
        </w:tc>
        <w:tc>
          <w:tcPr>
            <w:tcW w:w="2338" w:type="dxa"/>
            <w:shd w:val="clear" w:color="auto" w:fill="auto"/>
          </w:tcPr>
          <w:p w:rsidR="003D0FE2" w:rsidRPr="00437BAD" w:rsidRDefault="003D0FE2" w:rsidP="003D0FE2">
            <w:pPr>
              <w:rPr>
                <w:rFonts w:cs="Arial"/>
              </w:rPr>
            </w:pPr>
            <w:r w:rsidRPr="00437BAD">
              <w:rPr>
                <w:rFonts w:cs="Arial"/>
              </w:rPr>
              <w:t xml:space="preserve">Leistung: </w:t>
            </w:r>
            <w:r w:rsidRPr="00437BAD">
              <w:rPr>
                <w:rFonts w:cs="Arial"/>
              </w:rPr>
              <w:br/>
              <w:t xml:space="preserve">Beseitigung von: </w:t>
            </w:r>
          </w:p>
        </w:tc>
        <w:tc>
          <w:tcPr>
            <w:tcW w:w="2674" w:type="dxa"/>
            <w:shd w:val="clear" w:color="auto" w:fill="auto"/>
          </w:tcPr>
          <w:p w:rsidR="003D0FE2" w:rsidRPr="00437BAD" w:rsidRDefault="003D0FE2" w:rsidP="003D0FE2">
            <w:pPr>
              <w:rPr>
                <w:rFonts w:cs="Arial"/>
              </w:rPr>
            </w:pPr>
            <w:r w:rsidRPr="00437BAD">
              <w:rPr>
                <w:rFonts w:cs="Arial"/>
              </w:rPr>
              <w:t>Gebührenmaßstab:</w:t>
            </w:r>
          </w:p>
        </w:tc>
        <w:tc>
          <w:tcPr>
            <w:tcW w:w="296" w:type="dxa"/>
            <w:shd w:val="clear" w:color="auto" w:fill="auto"/>
          </w:tcPr>
          <w:p w:rsidR="003D0FE2" w:rsidRPr="00437BAD" w:rsidRDefault="003D0FE2" w:rsidP="003D0FE2">
            <w:pPr>
              <w:rPr>
                <w:rFonts w:cs="Arial"/>
              </w:rPr>
            </w:pPr>
            <w:r w:rsidRPr="00437BAD">
              <w:rPr>
                <w:rFonts w:cs="Arial"/>
              </w:rPr>
              <w:t>x</w:t>
            </w:r>
          </w:p>
        </w:tc>
        <w:tc>
          <w:tcPr>
            <w:tcW w:w="1750" w:type="dxa"/>
            <w:shd w:val="clear" w:color="auto" w:fill="auto"/>
          </w:tcPr>
          <w:p w:rsidR="003D0FE2" w:rsidRPr="00437BAD" w:rsidRDefault="003D0FE2" w:rsidP="003D0FE2">
            <w:pPr>
              <w:rPr>
                <w:rFonts w:cs="Arial"/>
              </w:rPr>
            </w:pPr>
            <w:r w:rsidRPr="00437BAD">
              <w:rPr>
                <w:rFonts w:cs="Arial"/>
              </w:rPr>
              <w:t>Gebühre</w:t>
            </w:r>
            <w:r w:rsidRPr="00437BAD">
              <w:rPr>
                <w:rFonts w:cs="Arial"/>
              </w:rPr>
              <w:t>n</w:t>
            </w:r>
            <w:r w:rsidRPr="00437BAD">
              <w:rPr>
                <w:rFonts w:cs="Arial"/>
              </w:rPr>
              <w:t>satz:</w:t>
            </w:r>
          </w:p>
        </w:tc>
        <w:tc>
          <w:tcPr>
            <w:tcW w:w="1980" w:type="dxa"/>
            <w:shd w:val="clear" w:color="auto" w:fill="auto"/>
          </w:tcPr>
          <w:p w:rsidR="003D0FE2" w:rsidRPr="00437BAD" w:rsidRDefault="003D0FE2" w:rsidP="003D0FE2">
            <w:pPr>
              <w:rPr>
                <w:rFonts w:cs="Arial"/>
              </w:rPr>
            </w:pPr>
            <w:r w:rsidRPr="00437BAD">
              <w:rPr>
                <w:rFonts w:cs="Arial"/>
              </w:rPr>
              <w:t>= festzusetze</w:t>
            </w:r>
            <w:r w:rsidRPr="00437BAD">
              <w:rPr>
                <w:rFonts w:cs="Arial"/>
              </w:rPr>
              <w:t>n</w:t>
            </w:r>
            <w:r w:rsidRPr="00437BAD">
              <w:rPr>
                <w:rFonts w:cs="Arial"/>
              </w:rPr>
              <w:t xml:space="preserve">de </w:t>
            </w:r>
            <w:r w:rsidRPr="00437BAD">
              <w:rPr>
                <w:rFonts w:cs="Arial"/>
              </w:rPr>
              <w:br/>
              <w:t xml:space="preserve">     G</w:t>
            </w:r>
            <w:r w:rsidRPr="00437BAD">
              <w:rPr>
                <w:rFonts w:cs="Arial"/>
              </w:rPr>
              <w:t>e</w:t>
            </w:r>
            <w:r w:rsidRPr="00437BAD">
              <w:rPr>
                <w:rFonts w:cs="Arial"/>
              </w:rPr>
              <w:t>bühr</w:t>
            </w:r>
          </w:p>
        </w:tc>
      </w:tr>
      <w:tr w:rsidR="003D0FE2" w:rsidRPr="00437BAD" w:rsidTr="00437BAD">
        <w:tc>
          <w:tcPr>
            <w:tcW w:w="430" w:type="dxa"/>
            <w:shd w:val="clear" w:color="auto" w:fill="auto"/>
          </w:tcPr>
          <w:p w:rsidR="003D0FE2" w:rsidRPr="00437BAD" w:rsidRDefault="003D0FE2" w:rsidP="003D0FE2">
            <w:pPr>
              <w:rPr>
                <w:rFonts w:cs="Arial"/>
              </w:rPr>
            </w:pPr>
            <w:r w:rsidRPr="00437BAD">
              <w:rPr>
                <w:rFonts w:cs="Arial"/>
              </w:rPr>
              <w:t>a)</w:t>
            </w:r>
          </w:p>
        </w:tc>
        <w:tc>
          <w:tcPr>
            <w:tcW w:w="2338" w:type="dxa"/>
            <w:shd w:val="clear" w:color="auto" w:fill="auto"/>
          </w:tcPr>
          <w:p w:rsidR="003D0FE2" w:rsidRPr="00437BAD" w:rsidRDefault="003D0FE2" w:rsidP="003D0FE2">
            <w:pPr>
              <w:rPr>
                <w:rFonts w:cs="Arial"/>
              </w:rPr>
            </w:pPr>
            <w:r w:rsidRPr="00437BAD">
              <w:rPr>
                <w:rFonts w:cs="Arial"/>
              </w:rPr>
              <w:t>Schmutzwasser</w:t>
            </w:r>
          </w:p>
        </w:tc>
        <w:tc>
          <w:tcPr>
            <w:tcW w:w="2674" w:type="dxa"/>
            <w:shd w:val="clear" w:color="auto" w:fill="auto"/>
          </w:tcPr>
          <w:p w:rsidR="003D0FE2" w:rsidRPr="00437BAD" w:rsidRDefault="003D0FE2" w:rsidP="003D0FE2">
            <w:pPr>
              <w:rPr>
                <w:rFonts w:cs="Arial"/>
              </w:rPr>
            </w:pPr>
            <w:r w:rsidRPr="00437BAD">
              <w:rPr>
                <w:rFonts w:cs="Arial"/>
              </w:rPr>
              <w:t xml:space="preserve">Kubikmeter </w:t>
            </w:r>
          </w:p>
          <w:p w:rsidR="003D0FE2" w:rsidRPr="00437BAD" w:rsidRDefault="003D0FE2" w:rsidP="003D0FE2">
            <w:pPr>
              <w:rPr>
                <w:rFonts w:cs="Arial"/>
              </w:rPr>
            </w:pPr>
            <w:r w:rsidRPr="00437BAD">
              <w:rPr>
                <w:rFonts w:cs="Arial"/>
              </w:rPr>
              <w:t>bezogenes Frischwa</w:t>
            </w:r>
            <w:r w:rsidRPr="00437BAD">
              <w:rPr>
                <w:rFonts w:cs="Arial"/>
              </w:rPr>
              <w:t>s</w:t>
            </w:r>
            <w:r w:rsidRPr="00437BAD">
              <w:rPr>
                <w:rFonts w:cs="Arial"/>
              </w:rPr>
              <w:t>ser</w:t>
            </w:r>
          </w:p>
        </w:tc>
        <w:tc>
          <w:tcPr>
            <w:tcW w:w="296" w:type="dxa"/>
            <w:shd w:val="clear" w:color="auto" w:fill="auto"/>
          </w:tcPr>
          <w:p w:rsidR="003D0FE2" w:rsidRPr="00437BAD" w:rsidRDefault="003D0FE2" w:rsidP="003D0FE2">
            <w:pPr>
              <w:rPr>
                <w:rFonts w:cs="Arial"/>
              </w:rPr>
            </w:pPr>
          </w:p>
          <w:p w:rsidR="003D0FE2" w:rsidRPr="00437BAD" w:rsidRDefault="003D0FE2" w:rsidP="003D0FE2">
            <w:pPr>
              <w:rPr>
                <w:rFonts w:cs="Arial"/>
              </w:rPr>
            </w:pPr>
            <w:r w:rsidRPr="00437BAD">
              <w:rPr>
                <w:rFonts w:cs="Arial"/>
              </w:rPr>
              <w:t>x</w:t>
            </w:r>
          </w:p>
        </w:tc>
        <w:tc>
          <w:tcPr>
            <w:tcW w:w="1750" w:type="dxa"/>
            <w:shd w:val="clear" w:color="auto" w:fill="auto"/>
          </w:tcPr>
          <w:p w:rsidR="003D0FE2" w:rsidRPr="00437BAD" w:rsidRDefault="003D0FE2" w:rsidP="003D0FE2">
            <w:pPr>
              <w:rPr>
                <w:rFonts w:cs="Arial"/>
              </w:rPr>
            </w:pPr>
          </w:p>
          <w:p w:rsidR="003D0FE2" w:rsidRPr="00437BAD" w:rsidRDefault="003D0FE2" w:rsidP="003D0FE2">
            <w:pPr>
              <w:rPr>
                <w:rFonts w:cs="Arial"/>
              </w:rPr>
            </w:pPr>
            <w:r w:rsidRPr="00437BAD">
              <w:rPr>
                <w:rFonts w:cs="Arial"/>
              </w:rPr>
              <w:t>3,30 €/m</w:t>
            </w:r>
            <w:r w:rsidRPr="00437BAD">
              <w:rPr>
                <w:rFonts w:cs="Arial"/>
                <w:vertAlign w:val="superscript"/>
              </w:rPr>
              <w:t>3</w:t>
            </w:r>
          </w:p>
        </w:tc>
        <w:tc>
          <w:tcPr>
            <w:tcW w:w="1980" w:type="dxa"/>
            <w:shd w:val="clear" w:color="auto" w:fill="auto"/>
          </w:tcPr>
          <w:p w:rsidR="003D0FE2" w:rsidRPr="00437BAD" w:rsidRDefault="003D0FE2" w:rsidP="00437BAD">
            <w:pPr>
              <w:jc w:val="center"/>
              <w:rPr>
                <w:rFonts w:cs="Arial"/>
              </w:rPr>
            </w:pPr>
          </w:p>
          <w:p w:rsidR="003D0FE2" w:rsidRPr="00437BAD" w:rsidRDefault="003D0FE2" w:rsidP="00437BAD">
            <w:pPr>
              <w:jc w:val="center"/>
              <w:rPr>
                <w:rFonts w:cs="Arial"/>
              </w:rPr>
            </w:pPr>
            <w:r w:rsidRPr="00437BAD">
              <w:rPr>
                <w:rFonts w:cs="Arial"/>
              </w:rPr>
              <w:t>=  *</w:t>
            </w:r>
            <w:r w:rsidRPr="00437BAD">
              <w:rPr>
                <w:rStyle w:val="Funotenzeichen"/>
                <w:rFonts w:cs="Arial"/>
                <w:vertAlign w:val="subscript"/>
              </w:rPr>
              <w:footnoteReference w:id="1"/>
            </w:r>
          </w:p>
        </w:tc>
      </w:tr>
      <w:tr w:rsidR="003D0FE2" w:rsidRPr="00437BAD" w:rsidTr="00437BAD">
        <w:tc>
          <w:tcPr>
            <w:tcW w:w="430" w:type="dxa"/>
            <w:shd w:val="clear" w:color="auto" w:fill="auto"/>
          </w:tcPr>
          <w:p w:rsidR="003D0FE2" w:rsidRPr="00437BAD" w:rsidRDefault="003D0FE2" w:rsidP="003D0FE2">
            <w:pPr>
              <w:rPr>
                <w:rFonts w:cs="Arial"/>
              </w:rPr>
            </w:pPr>
            <w:r w:rsidRPr="00437BAD">
              <w:rPr>
                <w:rFonts w:cs="Arial"/>
              </w:rPr>
              <w:t>b)</w:t>
            </w:r>
          </w:p>
        </w:tc>
        <w:tc>
          <w:tcPr>
            <w:tcW w:w="2338" w:type="dxa"/>
            <w:shd w:val="clear" w:color="auto" w:fill="auto"/>
          </w:tcPr>
          <w:p w:rsidR="003D0FE2" w:rsidRPr="00437BAD" w:rsidRDefault="003D0FE2" w:rsidP="003D0FE2">
            <w:pPr>
              <w:rPr>
                <w:rFonts w:cs="Arial"/>
              </w:rPr>
            </w:pPr>
            <w:r w:rsidRPr="00437BAD">
              <w:rPr>
                <w:rFonts w:cs="Arial"/>
              </w:rPr>
              <w:t>Niederschlagswa</w:t>
            </w:r>
            <w:r w:rsidRPr="00437BAD">
              <w:rPr>
                <w:rFonts w:cs="Arial"/>
              </w:rPr>
              <w:t>s</w:t>
            </w:r>
            <w:r w:rsidRPr="00437BAD">
              <w:rPr>
                <w:rFonts w:cs="Arial"/>
              </w:rPr>
              <w:t>ser</w:t>
            </w:r>
          </w:p>
        </w:tc>
        <w:tc>
          <w:tcPr>
            <w:tcW w:w="2674" w:type="dxa"/>
            <w:shd w:val="clear" w:color="auto" w:fill="auto"/>
          </w:tcPr>
          <w:p w:rsidR="003D0FE2" w:rsidRPr="00437BAD" w:rsidRDefault="003D0FE2" w:rsidP="003D0FE2">
            <w:pPr>
              <w:rPr>
                <w:rFonts w:cs="Arial"/>
              </w:rPr>
            </w:pPr>
            <w:r w:rsidRPr="00437BAD">
              <w:rPr>
                <w:rFonts w:cs="Arial"/>
              </w:rPr>
              <w:t xml:space="preserve">Quadratmeter </w:t>
            </w:r>
            <w:r w:rsidRPr="00437BAD">
              <w:rPr>
                <w:rFonts w:cs="Arial"/>
              </w:rPr>
              <w:br/>
              <w:t>versiegelte Fl</w:t>
            </w:r>
            <w:r w:rsidRPr="00437BAD">
              <w:rPr>
                <w:rFonts w:cs="Arial"/>
              </w:rPr>
              <w:t>ä</w:t>
            </w:r>
            <w:r w:rsidRPr="00437BAD">
              <w:rPr>
                <w:rFonts w:cs="Arial"/>
              </w:rPr>
              <w:t>che</w:t>
            </w:r>
          </w:p>
        </w:tc>
        <w:tc>
          <w:tcPr>
            <w:tcW w:w="296" w:type="dxa"/>
            <w:shd w:val="clear" w:color="auto" w:fill="auto"/>
          </w:tcPr>
          <w:p w:rsidR="003D0FE2" w:rsidRPr="00437BAD" w:rsidRDefault="003D0FE2" w:rsidP="003D0FE2">
            <w:pPr>
              <w:rPr>
                <w:rFonts w:cs="Arial"/>
              </w:rPr>
            </w:pPr>
          </w:p>
          <w:p w:rsidR="003D0FE2" w:rsidRPr="00437BAD" w:rsidRDefault="003D0FE2" w:rsidP="003D0FE2">
            <w:pPr>
              <w:rPr>
                <w:rFonts w:cs="Arial"/>
              </w:rPr>
            </w:pPr>
            <w:r w:rsidRPr="00437BAD">
              <w:rPr>
                <w:rFonts w:cs="Arial"/>
              </w:rPr>
              <w:t>x</w:t>
            </w:r>
          </w:p>
        </w:tc>
        <w:tc>
          <w:tcPr>
            <w:tcW w:w="1750" w:type="dxa"/>
            <w:shd w:val="clear" w:color="auto" w:fill="auto"/>
          </w:tcPr>
          <w:p w:rsidR="003D0FE2" w:rsidRPr="00437BAD" w:rsidRDefault="003D0FE2" w:rsidP="003D0FE2">
            <w:pPr>
              <w:rPr>
                <w:rFonts w:cs="Arial"/>
              </w:rPr>
            </w:pPr>
          </w:p>
          <w:p w:rsidR="003D0FE2" w:rsidRPr="00437BAD" w:rsidRDefault="003D0FE2" w:rsidP="003D0FE2">
            <w:pPr>
              <w:rPr>
                <w:rFonts w:cs="Arial"/>
              </w:rPr>
            </w:pPr>
            <w:r w:rsidRPr="00437BAD">
              <w:rPr>
                <w:rFonts w:cs="Arial"/>
              </w:rPr>
              <w:t>0,80 €/m</w:t>
            </w:r>
            <w:r w:rsidRPr="00437BAD">
              <w:rPr>
                <w:rFonts w:cs="Arial"/>
                <w:vertAlign w:val="superscript"/>
              </w:rPr>
              <w:t>2</w:t>
            </w:r>
          </w:p>
        </w:tc>
        <w:tc>
          <w:tcPr>
            <w:tcW w:w="1980" w:type="dxa"/>
            <w:shd w:val="clear" w:color="auto" w:fill="auto"/>
          </w:tcPr>
          <w:p w:rsidR="003D0FE2" w:rsidRPr="00437BAD" w:rsidRDefault="003D0FE2" w:rsidP="00437BAD">
            <w:pPr>
              <w:jc w:val="center"/>
              <w:rPr>
                <w:rFonts w:cs="Arial"/>
              </w:rPr>
            </w:pPr>
          </w:p>
          <w:p w:rsidR="003D0FE2" w:rsidRPr="00437BAD" w:rsidRDefault="003D0FE2" w:rsidP="00437BAD">
            <w:pPr>
              <w:jc w:val="center"/>
              <w:rPr>
                <w:rFonts w:cs="Arial"/>
              </w:rPr>
            </w:pPr>
            <w:r w:rsidRPr="00437BAD">
              <w:rPr>
                <w:rFonts w:cs="Arial"/>
              </w:rPr>
              <w:t>=  *</w:t>
            </w:r>
            <w:r w:rsidRPr="00437BAD">
              <w:rPr>
                <w:rFonts w:cs="Arial"/>
                <w:vertAlign w:val="subscript"/>
              </w:rPr>
              <w:t>1</w:t>
            </w:r>
          </w:p>
        </w:tc>
      </w:tr>
      <w:tr w:rsidR="003D0FE2" w:rsidRPr="00437BAD" w:rsidTr="00437BAD">
        <w:tc>
          <w:tcPr>
            <w:tcW w:w="430" w:type="dxa"/>
            <w:shd w:val="clear" w:color="auto" w:fill="auto"/>
          </w:tcPr>
          <w:p w:rsidR="003D0FE2" w:rsidRPr="00437BAD" w:rsidRDefault="003D0FE2" w:rsidP="003D0FE2">
            <w:pPr>
              <w:rPr>
                <w:rFonts w:cs="Arial"/>
                <w:b/>
              </w:rPr>
            </w:pPr>
          </w:p>
        </w:tc>
        <w:tc>
          <w:tcPr>
            <w:tcW w:w="2338" w:type="dxa"/>
            <w:shd w:val="clear" w:color="auto" w:fill="auto"/>
          </w:tcPr>
          <w:p w:rsidR="003D0FE2" w:rsidRPr="00437BAD" w:rsidRDefault="003D0FE2" w:rsidP="003D0FE2">
            <w:pPr>
              <w:rPr>
                <w:rFonts w:cs="Arial"/>
                <w:b/>
              </w:rPr>
            </w:pPr>
          </w:p>
        </w:tc>
        <w:tc>
          <w:tcPr>
            <w:tcW w:w="2674" w:type="dxa"/>
            <w:shd w:val="clear" w:color="auto" w:fill="auto"/>
          </w:tcPr>
          <w:p w:rsidR="003D0FE2" w:rsidRPr="00437BAD" w:rsidRDefault="003D0FE2" w:rsidP="003D0FE2">
            <w:pPr>
              <w:rPr>
                <w:rFonts w:cs="Arial"/>
                <w:b/>
              </w:rPr>
            </w:pPr>
          </w:p>
        </w:tc>
        <w:tc>
          <w:tcPr>
            <w:tcW w:w="296" w:type="dxa"/>
            <w:shd w:val="clear" w:color="auto" w:fill="auto"/>
          </w:tcPr>
          <w:p w:rsidR="003D0FE2" w:rsidRPr="00437BAD" w:rsidRDefault="003D0FE2" w:rsidP="003D0FE2">
            <w:pPr>
              <w:rPr>
                <w:rFonts w:cs="Arial"/>
                <w:b/>
              </w:rPr>
            </w:pPr>
          </w:p>
        </w:tc>
        <w:tc>
          <w:tcPr>
            <w:tcW w:w="1750" w:type="dxa"/>
            <w:shd w:val="clear" w:color="auto" w:fill="auto"/>
          </w:tcPr>
          <w:p w:rsidR="003D0FE2" w:rsidRPr="00437BAD" w:rsidRDefault="003D0FE2" w:rsidP="00437BAD">
            <w:pPr>
              <w:ind w:left="-158"/>
              <w:rPr>
                <w:rFonts w:cs="Arial"/>
                <w:b/>
              </w:rPr>
            </w:pPr>
          </w:p>
        </w:tc>
        <w:tc>
          <w:tcPr>
            <w:tcW w:w="1980" w:type="dxa"/>
            <w:shd w:val="clear" w:color="auto" w:fill="auto"/>
          </w:tcPr>
          <w:p w:rsidR="003D0FE2" w:rsidRPr="00437BAD" w:rsidRDefault="003D0FE2" w:rsidP="00437BAD">
            <w:pPr>
              <w:jc w:val="center"/>
              <w:rPr>
                <w:rFonts w:cs="Arial"/>
                <w:b/>
              </w:rPr>
            </w:pPr>
          </w:p>
        </w:tc>
      </w:tr>
    </w:tbl>
    <w:p w:rsidR="003D0FE2" w:rsidRDefault="003D0FE2" w:rsidP="003D0FE2">
      <w:pPr>
        <w:rPr>
          <w:rFonts w:cs="Arial"/>
        </w:rPr>
      </w:pPr>
      <w:r>
        <w:rPr>
          <w:rFonts w:cs="Arial"/>
        </w:rPr>
        <w:t>Dieses Modell macht es erforderlich, dass</w:t>
      </w:r>
    </w:p>
    <w:p w:rsidR="003D0FE2" w:rsidRDefault="003D0FE2" w:rsidP="003D0FE2">
      <w:pPr>
        <w:ind w:left="180" w:hanging="180"/>
        <w:rPr>
          <w:rFonts w:cs="Arial"/>
        </w:rPr>
      </w:pPr>
      <w:r>
        <w:rPr>
          <w:rFonts w:cs="Arial"/>
        </w:rPr>
        <w:t>-</w:t>
      </w:r>
      <w:r>
        <w:rPr>
          <w:rFonts w:cs="Arial"/>
        </w:rPr>
        <w:tab/>
        <w:t>im gesamten Stadtgebiet die Grundstücke ermittelt werden, die 1.000 m</w:t>
      </w:r>
      <w:r w:rsidRPr="00E2106D">
        <w:rPr>
          <w:rFonts w:cs="Arial"/>
          <w:vertAlign w:val="superscript"/>
        </w:rPr>
        <w:t>2</w:t>
      </w:r>
      <w:r>
        <w:rPr>
          <w:rFonts w:cs="Arial"/>
        </w:rPr>
        <w:t xml:space="preserve"> bebaute, überba</w:t>
      </w:r>
      <w:r>
        <w:rPr>
          <w:rFonts w:cs="Arial"/>
        </w:rPr>
        <w:t>u</w:t>
      </w:r>
      <w:r>
        <w:rPr>
          <w:rFonts w:cs="Arial"/>
        </w:rPr>
        <w:t>te oder befestigte Fläche aufweisen und über Abflüsse in das Kanalnetz verfügen sowie die jeweilige Art der Versiegelung</w:t>
      </w:r>
      <w:r>
        <w:rPr>
          <w:rStyle w:val="Funotenzeichen"/>
          <w:rFonts w:cs="Arial"/>
        </w:rPr>
        <w:footnoteReference w:id="2"/>
      </w:r>
      <w:r>
        <w:rPr>
          <w:rFonts w:cs="Arial"/>
        </w:rPr>
        <w:t xml:space="preserve"> und dass</w:t>
      </w:r>
    </w:p>
    <w:p w:rsidR="003D0FE2" w:rsidRDefault="003D0FE2" w:rsidP="003D0FE2">
      <w:pPr>
        <w:ind w:left="180" w:hanging="180"/>
        <w:rPr>
          <w:rFonts w:cs="Arial"/>
        </w:rPr>
      </w:pPr>
      <w:r>
        <w:rPr>
          <w:rFonts w:cs="Arial"/>
        </w:rPr>
        <w:t>-</w:t>
      </w:r>
      <w:r>
        <w:rPr>
          <w:rFonts w:cs="Arial"/>
        </w:rPr>
        <w:tab/>
        <w:t>der Gebührenhaushalt „Abwasser“ in die Bereiche „Schmutzwasser“ und „Niederschlag</w:t>
      </w:r>
      <w:r>
        <w:rPr>
          <w:rFonts w:cs="Arial"/>
        </w:rPr>
        <w:t>s</w:t>
      </w:r>
      <w:r>
        <w:rPr>
          <w:rFonts w:cs="Arial"/>
        </w:rPr>
        <w:t>was</w:t>
      </w:r>
      <w:r>
        <w:rPr>
          <w:rFonts w:cs="Arial"/>
        </w:rPr>
        <w:lastRenderedPageBreak/>
        <w:t>ser“ aufgeteilt wird.</w:t>
      </w:r>
    </w:p>
    <w:p w:rsidR="003D0FE2" w:rsidRDefault="003D0FE2" w:rsidP="003D0FE2">
      <w:pPr>
        <w:rPr>
          <w:rFonts w:cs="Arial"/>
        </w:rPr>
      </w:pPr>
    </w:p>
    <w:p w:rsidR="003D0FE2" w:rsidRDefault="003D0FE2" w:rsidP="003D0FE2">
      <w:pPr>
        <w:rPr>
          <w:rFonts w:cs="Arial"/>
        </w:rPr>
      </w:pPr>
      <w:r>
        <w:rPr>
          <w:rFonts w:cs="Arial"/>
        </w:rPr>
        <w:t>Die künftige Verteilung der Kosten für die Beseitigung von Niederschlagswasser erfolgt für die Grundstücke, bei denen die versiegelte Fläche vorliegt, entsprechend den Quadratm</w:t>
      </w:r>
      <w:r>
        <w:rPr>
          <w:rFonts w:cs="Arial"/>
        </w:rPr>
        <w:t>e</w:t>
      </w:r>
      <w:r>
        <w:rPr>
          <w:rFonts w:cs="Arial"/>
        </w:rPr>
        <w:t>tern und dem ermittelten Gebührensatz „centgenau“. Bei den übrigen Grundstücken ist der Anteil zur Ni</w:t>
      </w:r>
      <w:r>
        <w:rPr>
          <w:rFonts w:cs="Arial"/>
        </w:rPr>
        <w:t>e</w:t>
      </w:r>
      <w:r>
        <w:rPr>
          <w:rFonts w:cs="Arial"/>
        </w:rPr>
        <w:t>derschlagswasserableitung in der Kanalbenutzungsgebühr weiterhin entsprechend der angefallenen A</w:t>
      </w:r>
      <w:r>
        <w:rPr>
          <w:rFonts w:cs="Arial"/>
        </w:rPr>
        <w:t>b</w:t>
      </w:r>
      <w:r>
        <w:rPr>
          <w:rFonts w:cs="Arial"/>
        </w:rPr>
        <w:t>wassermenge enthalten.</w:t>
      </w:r>
    </w:p>
    <w:p w:rsidR="003D0FE2" w:rsidRDefault="003D0FE2" w:rsidP="003D0FE2">
      <w:pPr>
        <w:rPr>
          <w:rFonts w:cs="Arial"/>
        </w:rPr>
      </w:pPr>
    </w:p>
    <w:p w:rsidR="003D0FE2" w:rsidRDefault="003D0FE2" w:rsidP="003D0FE2">
      <w:pPr>
        <w:rPr>
          <w:rFonts w:cs="Arial"/>
        </w:rPr>
      </w:pPr>
      <w:r>
        <w:rPr>
          <w:rFonts w:cs="Arial"/>
        </w:rPr>
        <w:t>Die Einführung einer gesplitteten Gebühr kann zurzeit (wie in Bremen) rechtlich nur in mehr</w:t>
      </w:r>
      <w:r>
        <w:rPr>
          <w:rFonts w:cs="Arial"/>
        </w:rPr>
        <w:t>e</w:t>
      </w:r>
      <w:r>
        <w:rPr>
          <w:rFonts w:cs="Arial"/>
        </w:rPr>
        <w:t>ren Schritten erfolgen. Um eine sachgerechte und korrekte Flächenermittlung sicherz</w:t>
      </w:r>
      <w:r>
        <w:rPr>
          <w:rFonts w:cs="Arial"/>
        </w:rPr>
        <w:t>u</w:t>
      </w:r>
      <w:r>
        <w:rPr>
          <w:rFonts w:cs="Arial"/>
        </w:rPr>
        <w:t xml:space="preserve">stellen, sind in einem </w:t>
      </w:r>
      <w:r w:rsidRPr="00E2106D">
        <w:rPr>
          <w:rFonts w:cs="Arial"/>
          <w:i/>
        </w:rPr>
        <w:t>ersten Schritt</w:t>
      </w:r>
      <w:r>
        <w:rPr>
          <w:rFonts w:cs="Arial"/>
        </w:rPr>
        <w:t xml:space="preserve"> datenschutzrechtliche Regelungen erforderlich, welche die Erh</w:t>
      </w:r>
      <w:r>
        <w:rPr>
          <w:rFonts w:cs="Arial"/>
        </w:rPr>
        <w:t>e</w:t>
      </w:r>
      <w:r>
        <w:rPr>
          <w:rFonts w:cs="Arial"/>
        </w:rPr>
        <w:t>bung und Verarbeitung von durch die EBB oder in ihrem Auftrag erhobenen Daten ermögl</w:t>
      </w:r>
      <w:r>
        <w:rPr>
          <w:rFonts w:cs="Arial"/>
        </w:rPr>
        <w:t>i</w:t>
      </w:r>
      <w:r>
        <w:rPr>
          <w:rFonts w:cs="Arial"/>
        </w:rPr>
        <w:t>chen. Weiter sind zur Verifizierung der erhobenen Daten auch Mitwirkungspflichten der Eige</w:t>
      </w:r>
      <w:r>
        <w:rPr>
          <w:rFonts w:cs="Arial"/>
        </w:rPr>
        <w:t>n</w:t>
      </w:r>
      <w:r>
        <w:rPr>
          <w:rFonts w:cs="Arial"/>
        </w:rPr>
        <w:t>tümer und dinglich Nutzungsberechtigten notwendig. Dies macht eine Ergänzung des Entwä</w:t>
      </w:r>
      <w:r>
        <w:rPr>
          <w:rFonts w:cs="Arial"/>
        </w:rPr>
        <w:t>s</w:t>
      </w:r>
      <w:r>
        <w:rPr>
          <w:rFonts w:cs="Arial"/>
        </w:rPr>
        <w:t>serungsortsg</w:t>
      </w:r>
      <w:r>
        <w:rPr>
          <w:rFonts w:cs="Arial"/>
        </w:rPr>
        <w:t>e</w:t>
      </w:r>
      <w:r>
        <w:rPr>
          <w:rFonts w:cs="Arial"/>
        </w:rPr>
        <w:t>setzes und der Gebührenordnung zum Entwässerungsortsgesetz erforderlich. Ein entsprechender Entwurf auf der Grundlage der für die Stadtgemeinde Bremen schon ge</w:t>
      </w:r>
      <w:r>
        <w:rPr>
          <w:rFonts w:cs="Arial"/>
        </w:rPr>
        <w:t>l</w:t>
      </w:r>
      <w:r>
        <w:rPr>
          <w:rFonts w:cs="Arial"/>
        </w:rPr>
        <w:t xml:space="preserve">tenden Regelungen ist als </w:t>
      </w:r>
      <w:r w:rsidRPr="003748C0">
        <w:rPr>
          <w:rFonts w:cs="Arial"/>
          <w:b/>
        </w:rPr>
        <w:t>Anlage</w:t>
      </w:r>
      <w:r>
        <w:rPr>
          <w:rFonts w:cs="Arial"/>
        </w:rPr>
        <w:t xml:space="preserve"> </w:t>
      </w:r>
      <w:r w:rsidRPr="00924FE2">
        <w:rPr>
          <w:rFonts w:cs="Arial"/>
          <w:b/>
        </w:rPr>
        <w:t>1</w:t>
      </w:r>
      <w:r>
        <w:rPr>
          <w:rFonts w:cs="Arial"/>
        </w:rPr>
        <w:t xml:space="preserve"> be</w:t>
      </w:r>
      <w:r>
        <w:rPr>
          <w:rFonts w:cs="Arial"/>
        </w:rPr>
        <w:t>i</w:t>
      </w:r>
      <w:r>
        <w:rPr>
          <w:rFonts w:cs="Arial"/>
        </w:rPr>
        <w:t>gefügt.</w:t>
      </w:r>
    </w:p>
    <w:p w:rsidR="003D0FE2" w:rsidRDefault="003D0FE2" w:rsidP="003D0FE2">
      <w:pPr>
        <w:rPr>
          <w:rFonts w:cs="Arial"/>
        </w:rPr>
      </w:pPr>
    </w:p>
    <w:p w:rsidR="003D0FE2" w:rsidRDefault="003D0FE2" w:rsidP="003D0FE2">
      <w:pPr>
        <w:rPr>
          <w:rFonts w:cs="Arial"/>
        </w:rPr>
      </w:pPr>
      <w:r>
        <w:rPr>
          <w:rFonts w:cs="Arial"/>
        </w:rPr>
        <w:t>Nach Abschluss der Arbeiten zur Ermittlung der relevanten Flächen und der Aufteilung des G</w:t>
      </w:r>
      <w:r>
        <w:rPr>
          <w:rFonts w:cs="Arial"/>
        </w:rPr>
        <w:t>e</w:t>
      </w:r>
      <w:r>
        <w:rPr>
          <w:rFonts w:cs="Arial"/>
        </w:rPr>
        <w:t xml:space="preserve">bührenhaushalts müssen in einem </w:t>
      </w:r>
      <w:r w:rsidRPr="00E2106D">
        <w:rPr>
          <w:rFonts w:cs="Arial"/>
          <w:i/>
        </w:rPr>
        <w:t>zweiten Schritt</w:t>
      </w:r>
      <w:r>
        <w:rPr>
          <w:rFonts w:cs="Arial"/>
        </w:rPr>
        <w:t xml:space="preserve"> die ortsgesetzlichen Regelungen zum Gebü</w:t>
      </w:r>
      <w:r>
        <w:rPr>
          <w:rFonts w:cs="Arial"/>
        </w:rPr>
        <w:t>h</w:t>
      </w:r>
      <w:r>
        <w:rPr>
          <w:rFonts w:cs="Arial"/>
        </w:rPr>
        <w:t>renmaßstab und Gebührensatz getroffen werden. Wie diese genau aussehen werden, kann zurzeit noch nicht zur Gänze übersehen werden (ebenso wenig wie in Br</w:t>
      </w:r>
      <w:r>
        <w:rPr>
          <w:rFonts w:cs="Arial"/>
        </w:rPr>
        <w:t>e</w:t>
      </w:r>
      <w:r>
        <w:rPr>
          <w:rFonts w:cs="Arial"/>
        </w:rPr>
        <w:t>men).</w:t>
      </w:r>
    </w:p>
    <w:p w:rsidR="003D0FE2" w:rsidRDefault="003D0FE2" w:rsidP="003D0FE2">
      <w:pPr>
        <w:rPr>
          <w:rFonts w:cs="Arial"/>
        </w:rPr>
      </w:pPr>
    </w:p>
    <w:p w:rsidR="003D0FE2" w:rsidRDefault="003D0FE2" w:rsidP="003D0FE2">
      <w:pPr>
        <w:rPr>
          <w:rFonts w:cs="Arial"/>
        </w:rPr>
      </w:pPr>
      <w:r>
        <w:rPr>
          <w:rFonts w:cs="Arial"/>
        </w:rPr>
        <w:t>Da zurzeit auch noch nicht eingeschätzt werden kann, wie lange es dauern wird, die in Frage kommenden Flächen zu ermitteln bzw. den Gebührenhaushalt aufzuteilen, kann auch noch kein Zeitpunkt genannt werden, ab wann die gesplittete Gebühr eingeführt werden kann.</w:t>
      </w:r>
    </w:p>
    <w:p w:rsidR="003D0FE2" w:rsidRDefault="003D0FE2" w:rsidP="003D0FE2">
      <w:pPr>
        <w:rPr>
          <w:rFonts w:cs="Arial"/>
        </w:rPr>
      </w:pPr>
    </w:p>
    <w:p w:rsidR="003D0FE2" w:rsidRDefault="003D0FE2" w:rsidP="003D0FE2">
      <w:pPr>
        <w:rPr>
          <w:rFonts w:cs="Arial"/>
          <w:b/>
        </w:rPr>
      </w:pPr>
      <w:r w:rsidRPr="0038564F">
        <w:rPr>
          <w:rFonts w:cs="Arial"/>
          <w:b/>
        </w:rPr>
        <w:t>C Alternativen</w:t>
      </w:r>
    </w:p>
    <w:p w:rsidR="003D0FE2" w:rsidRDefault="003D0FE2" w:rsidP="003D0FE2">
      <w:pPr>
        <w:ind w:left="360" w:hanging="360"/>
        <w:rPr>
          <w:rFonts w:cs="Arial"/>
        </w:rPr>
      </w:pPr>
      <w:r>
        <w:rPr>
          <w:rFonts w:cs="Arial"/>
        </w:rPr>
        <w:t>Keine, die vorgeschlagen werden können.</w:t>
      </w:r>
    </w:p>
    <w:p w:rsidR="003D0FE2" w:rsidRDefault="003D0FE2" w:rsidP="003D0FE2">
      <w:pPr>
        <w:rPr>
          <w:rFonts w:cs="Arial"/>
        </w:rPr>
      </w:pPr>
    </w:p>
    <w:p w:rsidR="003D0FE2" w:rsidRDefault="003D0FE2" w:rsidP="003D0FE2">
      <w:pPr>
        <w:rPr>
          <w:rFonts w:cs="Arial"/>
          <w:b/>
        </w:rPr>
      </w:pPr>
      <w:r w:rsidRPr="0038564F">
        <w:rPr>
          <w:rFonts w:cs="Arial"/>
          <w:b/>
        </w:rPr>
        <w:t>D Finanzielle/Personalwirtschaftliche Auswirkungen</w:t>
      </w:r>
    </w:p>
    <w:p w:rsidR="003D0FE2" w:rsidRDefault="003D0FE2" w:rsidP="003D0FE2">
      <w:pPr>
        <w:ind w:left="360" w:hanging="360"/>
        <w:rPr>
          <w:rFonts w:cs="Arial"/>
        </w:rPr>
      </w:pPr>
      <w:r>
        <w:rPr>
          <w:rFonts w:cs="Arial"/>
        </w:rPr>
        <w:t xml:space="preserve">1. </w:t>
      </w:r>
      <w:r>
        <w:rPr>
          <w:rFonts w:cs="Arial"/>
        </w:rPr>
        <w:tab/>
        <w:t>Kosten der Umstellung</w:t>
      </w:r>
    </w:p>
    <w:p w:rsidR="003D0FE2" w:rsidRDefault="003D0FE2" w:rsidP="003D0FE2">
      <w:pPr>
        <w:ind w:left="360"/>
        <w:rPr>
          <w:rFonts w:cs="Arial"/>
        </w:rPr>
      </w:pPr>
      <w:r>
        <w:rPr>
          <w:rFonts w:cs="Arial"/>
        </w:rPr>
        <w:t>An Kosten für die Umstellung der Gebührenstruktur dürften (soweit zurzeit erkennbar) en</w:t>
      </w:r>
      <w:r>
        <w:rPr>
          <w:rFonts w:cs="Arial"/>
        </w:rPr>
        <w:t>t</w:t>
      </w:r>
      <w:r>
        <w:rPr>
          <w:rFonts w:cs="Arial"/>
        </w:rPr>
        <w:t>stehen:</w:t>
      </w:r>
    </w:p>
    <w:p w:rsidR="003D0FE2" w:rsidRDefault="003D0FE2" w:rsidP="003D0FE2">
      <w:pPr>
        <w:ind w:left="540" w:hanging="180"/>
        <w:rPr>
          <w:rFonts w:cs="Arial"/>
        </w:rPr>
      </w:pPr>
      <w:r>
        <w:rPr>
          <w:rFonts w:cs="Arial"/>
        </w:rPr>
        <w:t>-</w:t>
      </w:r>
      <w:r>
        <w:rPr>
          <w:rFonts w:cs="Arial"/>
        </w:rPr>
        <w:tab/>
        <w:t>Kosten für die Aufteilung des Gebührenhaushalts „Abwasser“ (zurzeit: ca. 25,5 Mio. €) auf die neuen Gebührenhaushalte „Schmutzwasser“ und „Niederschlagswasser“</w:t>
      </w:r>
      <w:r w:rsidR="00E61975">
        <w:rPr>
          <w:rFonts w:cs="Arial"/>
        </w:rPr>
        <w:t>,</w:t>
      </w:r>
    </w:p>
    <w:p w:rsidR="003D0FE2" w:rsidRDefault="003D0FE2" w:rsidP="003D0FE2">
      <w:pPr>
        <w:ind w:left="540" w:hanging="180"/>
        <w:rPr>
          <w:rFonts w:cs="Arial"/>
        </w:rPr>
      </w:pPr>
      <w:r>
        <w:rPr>
          <w:rFonts w:cs="Arial"/>
        </w:rPr>
        <w:t>-</w:t>
      </w:r>
      <w:r>
        <w:rPr>
          <w:rFonts w:cs="Arial"/>
        </w:rPr>
        <w:tab/>
        <w:t>Kosten für die Erfassung der Grundstücke ab 1.000 m</w:t>
      </w:r>
      <w:r w:rsidRPr="00612B3B">
        <w:rPr>
          <w:rFonts w:cs="Arial"/>
          <w:vertAlign w:val="superscript"/>
        </w:rPr>
        <w:t>2</w:t>
      </w:r>
      <w:r>
        <w:rPr>
          <w:rFonts w:cs="Arial"/>
        </w:rPr>
        <w:t xml:space="preserve"> befestigter, abflusswirksamer Fläche. Diese Daten sollen auf der Basis der seit April 2010 vorliegenden Befliegungsd</w:t>
      </w:r>
      <w:r>
        <w:rPr>
          <w:rFonts w:cs="Arial"/>
        </w:rPr>
        <w:t>a</w:t>
      </w:r>
      <w:r>
        <w:rPr>
          <w:rFonts w:cs="Arial"/>
        </w:rPr>
        <w:t>ten des Vermessungs- und Katasteramtes und ggf. der Befragung der Grundstückse</w:t>
      </w:r>
      <w:r>
        <w:rPr>
          <w:rFonts w:cs="Arial"/>
        </w:rPr>
        <w:t>i</w:t>
      </w:r>
      <w:r>
        <w:rPr>
          <w:rFonts w:cs="Arial"/>
        </w:rPr>
        <w:t>gentümer e</w:t>
      </w:r>
      <w:r>
        <w:rPr>
          <w:rFonts w:cs="Arial"/>
        </w:rPr>
        <w:t>r</w:t>
      </w:r>
      <w:r>
        <w:rPr>
          <w:rFonts w:cs="Arial"/>
        </w:rPr>
        <w:t>hoben werden.</w:t>
      </w:r>
    </w:p>
    <w:p w:rsidR="003D0FE2" w:rsidRDefault="003D0FE2" w:rsidP="003D0FE2">
      <w:pPr>
        <w:ind w:left="360"/>
        <w:rPr>
          <w:rFonts w:cs="Arial"/>
        </w:rPr>
      </w:pPr>
      <w:r>
        <w:rPr>
          <w:rFonts w:cs="Arial"/>
        </w:rPr>
        <w:t>Dieser Mehrbedarf wäre aus dem Gebührenhaushalt zu finanzieren.</w:t>
      </w:r>
    </w:p>
    <w:p w:rsidR="003D0FE2" w:rsidRDefault="003D0FE2" w:rsidP="003D0FE2">
      <w:pPr>
        <w:ind w:left="360"/>
        <w:rPr>
          <w:rFonts w:cs="Arial"/>
        </w:rPr>
      </w:pPr>
    </w:p>
    <w:p w:rsidR="003D0FE2" w:rsidRDefault="003D0FE2" w:rsidP="003D0FE2">
      <w:pPr>
        <w:ind w:left="360" w:hanging="360"/>
        <w:rPr>
          <w:rFonts w:cs="Arial"/>
        </w:rPr>
      </w:pPr>
      <w:r>
        <w:rPr>
          <w:rFonts w:cs="Arial"/>
        </w:rPr>
        <w:t xml:space="preserve">2. </w:t>
      </w:r>
      <w:r>
        <w:rPr>
          <w:rFonts w:cs="Arial"/>
        </w:rPr>
        <w:tab/>
        <w:t>Kosten für die Pflege der erhobenen Daten</w:t>
      </w:r>
    </w:p>
    <w:p w:rsidR="003D0FE2" w:rsidRDefault="003D0FE2" w:rsidP="003D0FE2">
      <w:pPr>
        <w:ind w:left="360"/>
        <w:rPr>
          <w:rFonts w:cs="Arial"/>
        </w:rPr>
      </w:pPr>
      <w:r>
        <w:rPr>
          <w:rFonts w:cs="Arial"/>
        </w:rPr>
        <w:t>Von welcher Stelle die Gebühren für die Beseitigung des Niederschlagswassers letztlich festgesetzt werden, muss noch entschieden werden. Die Daten der erfassten Grundst</w:t>
      </w:r>
      <w:r>
        <w:rPr>
          <w:rFonts w:cs="Arial"/>
        </w:rPr>
        <w:t>ü</w:t>
      </w:r>
      <w:r>
        <w:rPr>
          <w:rFonts w:cs="Arial"/>
        </w:rPr>
        <w:t>cke und die Daten der Grundstückseigentümer, die einen Antrag auf eine gesplittete Gebühr stellen, müssen ebenso wie Änderungen bei den Grundstücksverhältnissen und den zu entwässernden Flächen im Bestand und bei Neubauvorhaben kontinuierlich erfasst we</w:t>
      </w:r>
      <w:r>
        <w:rPr>
          <w:rFonts w:cs="Arial"/>
        </w:rPr>
        <w:t>r</w:t>
      </w:r>
      <w:r>
        <w:rPr>
          <w:rFonts w:cs="Arial"/>
        </w:rPr>
        <w:t>den. In Bremen wird dafür von einem dauerhaften Personalmehrbedarf von 3 bis 4 Vol</w:t>
      </w:r>
      <w:r>
        <w:rPr>
          <w:rFonts w:cs="Arial"/>
        </w:rPr>
        <w:t>l</w:t>
      </w:r>
      <w:r>
        <w:rPr>
          <w:rFonts w:cs="Arial"/>
        </w:rPr>
        <w:t>zeitstellen ausgegangen. Für Bremerhaven würde dies einen Mehrbedarf von 0,75 bis 1 Vollzeitstelle bedeuten. Dieser Mehrbedarf wäre ebenfalls aus dem Gebührenhaushalt zu finanzieren.</w:t>
      </w:r>
    </w:p>
    <w:p w:rsidR="003D0FE2" w:rsidRDefault="003D0FE2" w:rsidP="003D0FE2">
      <w:pPr>
        <w:ind w:left="360"/>
        <w:rPr>
          <w:rFonts w:cs="Arial"/>
        </w:rPr>
      </w:pPr>
    </w:p>
    <w:p w:rsidR="003D0FE2" w:rsidRDefault="003D0FE2" w:rsidP="003D0FE2">
      <w:pPr>
        <w:ind w:left="360" w:hanging="360"/>
        <w:rPr>
          <w:rFonts w:cs="Arial"/>
        </w:rPr>
      </w:pPr>
      <w:r>
        <w:rPr>
          <w:rFonts w:cs="Arial"/>
        </w:rPr>
        <w:t>3.</w:t>
      </w:r>
      <w:r>
        <w:rPr>
          <w:rFonts w:cs="Arial"/>
        </w:rPr>
        <w:tab/>
        <w:t>Kosten für den Gebührenhaushalt „Abwasser“ bzw. die künftigen Gebührenhaushalte</w:t>
      </w:r>
    </w:p>
    <w:p w:rsidR="003D0FE2" w:rsidRDefault="003D0FE2" w:rsidP="003D0FE2">
      <w:pPr>
        <w:ind w:left="360"/>
        <w:rPr>
          <w:rFonts w:cs="Arial"/>
        </w:rPr>
      </w:pPr>
      <w:r>
        <w:rPr>
          <w:rFonts w:cs="Arial"/>
        </w:rPr>
        <w:t>Bis auf die Kosten zu 1. und 2. dürften sich theoretisch keine weiteren Kosten ergeben, da lediglich die Kosten, die durch den Gebührenhaushalt „Abwasser“ finanziert werden, auf zwei neue Gebührenhaushalte aufgeteilt werden. Eine Punktlandung dürfte allerdings nur schwer zu erreichen sein, weil zumindest in den ersten Jahren nach Einführung nicht vo</w:t>
      </w:r>
      <w:r>
        <w:rPr>
          <w:rFonts w:cs="Arial"/>
        </w:rPr>
        <w:t>r</w:t>
      </w:r>
      <w:r>
        <w:rPr>
          <w:rFonts w:cs="Arial"/>
        </w:rPr>
        <w:t>hergesehen werden kann, in welchem Umfang Grundstückseigentümer von der Möglichkeit Gebrauch machen, die gesplittete Gebühr auf Antrag festsetzen zu lassen. Drei Aspekte sind in di</w:t>
      </w:r>
      <w:r>
        <w:rPr>
          <w:rFonts w:cs="Arial"/>
        </w:rPr>
        <w:t>e</w:t>
      </w:r>
      <w:r>
        <w:rPr>
          <w:rFonts w:cs="Arial"/>
        </w:rPr>
        <w:t>sem Zusammenhang allerdings schon jetzt vorhersehbar:</w:t>
      </w:r>
    </w:p>
    <w:p w:rsidR="003D0FE2" w:rsidRDefault="003D0FE2" w:rsidP="003D0FE2">
      <w:pPr>
        <w:ind w:left="360"/>
        <w:rPr>
          <w:rFonts w:cs="Arial"/>
        </w:rPr>
      </w:pPr>
    </w:p>
    <w:p w:rsidR="003D0FE2" w:rsidRDefault="003D0FE2" w:rsidP="003D0FE2">
      <w:pPr>
        <w:ind w:left="720" w:hanging="360"/>
        <w:rPr>
          <w:rFonts w:cs="Arial"/>
        </w:rPr>
      </w:pPr>
      <w:r>
        <w:rPr>
          <w:rFonts w:cs="Arial"/>
        </w:rPr>
        <w:t>a)</w:t>
      </w:r>
      <w:r>
        <w:rPr>
          <w:rFonts w:cs="Arial"/>
        </w:rPr>
        <w:tab/>
        <w:t>Hinsichtlich des Aufkommens im Bereich „Schmutzwassergebühr“ wird die Einführung der gesplitteten Gebühr keine Auswirkungen haben.</w:t>
      </w:r>
    </w:p>
    <w:p w:rsidR="003D0FE2" w:rsidRDefault="003D0FE2" w:rsidP="003D0FE2">
      <w:pPr>
        <w:ind w:left="720" w:hanging="360"/>
        <w:rPr>
          <w:rFonts w:cs="Arial"/>
        </w:rPr>
      </w:pPr>
      <w:r>
        <w:rPr>
          <w:rFonts w:cs="Arial"/>
        </w:rPr>
        <w:t>b)</w:t>
      </w:r>
      <w:r>
        <w:rPr>
          <w:rFonts w:cs="Arial"/>
        </w:rPr>
        <w:tab/>
        <w:t>Im Bereich „Niederschlagswassergebühr“ wird es „Gewinner“ und „Verlierer“ geben. Für die eingangs erwähnte Senatsvorlage haben die zuständigen Stellen in Bremen de</w:t>
      </w:r>
      <w:r>
        <w:rPr>
          <w:rFonts w:cs="Arial"/>
        </w:rPr>
        <w:t>s</w:t>
      </w:r>
      <w:r>
        <w:rPr>
          <w:rFonts w:cs="Arial"/>
        </w:rPr>
        <w:t>halb grobe Modellrechnungen erstellt. Sie wurden auf die Verhältnisse in Bremerhaven umg</w:t>
      </w:r>
      <w:r>
        <w:rPr>
          <w:rFonts w:cs="Arial"/>
        </w:rPr>
        <w:t>e</w:t>
      </w:r>
      <w:r>
        <w:rPr>
          <w:rFonts w:cs="Arial"/>
        </w:rPr>
        <w:t xml:space="preserve">stellt und sind als </w:t>
      </w:r>
      <w:r w:rsidRPr="00034641">
        <w:rPr>
          <w:rFonts w:cs="Arial"/>
          <w:b/>
        </w:rPr>
        <w:t>Anlage</w:t>
      </w:r>
      <w:r>
        <w:rPr>
          <w:rFonts w:cs="Arial"/>
          <w:b/>
        </w:rPr>
        <w:t xml:space="preserve"> 2</w:t>
      </w:r>
      <w:r>
        <w:rPr>
          <w:rFonts w:cs="Arial"/>
        </w:rPr>
        <w:t xml:space="preserve"> beigefügt. </w:t>
      </w:r>
    </w:p>
    <w:p w:rsidR="003D0FE2" w:rsidRDefault="003D0FE2" w:rsidP="003D0FE2">
      <w:pPr>
        <w:ind w:left="720" w:hanging="360"/>
        <w:rPr>
          <w:rFonts w:cs="Arial"/>
        </w:rPr>
      </w:pPr>
      <w:r>
        <w:rPr>
          <w:rFonts w:cs="Arial"/>
        </w:rPr>
        <w:t>c)</w:t>
      </w:r>
      <w:r>
        <w:rPr>
          <w:rFonts w:cs="Arial"/>
        </w:rPr>
        <w:tab/>
        <w:t>Die Einführung einer Niederschlagswassergebühr wird die Tendenz verstärken, Fl</w:t>
      </w:r>
      <w:r>
        <w:rPr>
          <w:rFonts w:cs="Arial"/>
        </w:rPr>
        <w:t>ä</w:t>
      </w:r>
      <w:r>
        <w:rPr>
          <w:rFonts w:cs="Arial"/>
        </w:rPr>
        <w:t>chen zu entsiegeln, sodass das Niederschlagswasser nicht mehr in die Kanalisation einfließen wird und keine Gebührenpflicht mehr entsteht. Dieses ist ökologisch e</w:t>
      </w:r>
      <w:r>
        <w:rPr>
          <w:rFonts w:cs="Arial"/>
        </w:rPr>
        <w:t>r</w:t>
      </w:r>
      <w:r>
        <w:rPr>
          <w:rFonts w:cs="Arial"/>
        </w:rPr>
        <w:t>wünscht. Aus der Sicht des Kanalnetzbetreibers wird zudem das Risiko von Überfl</w:t>
      </w:r>
      <w:r>
        <w:rPr>
          <w:rFonts w:cs="Arial"/>
        </w:rPr>
        <w:t>u</w:t>
      </w:r>
      <w:r>
        <w:rPr>
          <w:rFonts w:cs="Arial"/>
        </w:rPr>
        <w:t>tungen bei Starkrege</w:t>
      </w:r>
      <w:r>
        <w:rPr>
          <w:rFonts w:cs="Arial"/>
        </w:rPr>
        <w:t>n</w:t>
      </w:r>
      <w:r>
        <w:rPr>
          <w:rFonts w:cs="Arial"/>
        </w:rPr>
        <w:t>fällen vermindert.</w:t>
      </w:r>
    </w:p>
    <w:p w:rsidR="003D0FE2" w:rsidRDefault="003D0FE2" w:rsidP="003D0FE2">
      <w:pPr>
        <w:ind w:left="720"/>
        <w:rPr>
          <w:rFonts w:cs="Arial"/>
        </w:rPr>
      </w:pPr>
      <w:r>
        <w:rPr>
          <w:rFonts w:cs="Arial"/>
        </w:rPr>
        <w:t>Auch wenn die örtlichen Verhältnisse in Bremerhaven es nicht zulassen, jede Fläche zu entsiegeln, wird jedoch die Quadratmeterfläche der versiegelten Flächen im Laufe der Zeit abnehmen. Da die Kosten des für die Niederschlagswasserbeseitigung vorgeha</w:t>
      </w:r>
      <w:r>
        <w:rPr>
          <w:rFonts w:cs="Arial"/>
        </w:rPr>
        <w:t>l</w:t>
      </w:r>
      <w:r>
        <w:rPr>
          <w:rFonts w:cs="Arial"/>
        </w:rPr>
        <w:t>tenen Kanalnetzes nur in geringem Umfang beeinflusst werden können, wird sich im Laufe der Zeit der für die Niederschlagswasserbeseitigung zu erhebende Gebühre</w:t>
      </w:r>
      <w:r>
        <w:rPr>
          <w:rFonts w:cs="Arial"/>
        </w:rPr>
        <w:t>n</w:t>
      </w:r>
      <w:r>
        <w:rPr>
          <w:rFonts w:cs="Arial"/>
        </w:rPr>
        <w:t xml:space="preserve">satz schon deshalb erhöhen, weil immer weniger versiegelte Fläche vorhanden ist. </w:t>
      </w:r>
    </w:p>
    <w:p w:rsidR="003D0FE2" w:rsidRDefault="003D0FE2" w:rsidP="003D0FE2">
      <w:pPr>
        <w:ind w:left="720" w:hanging="360"/>
        <w:rPr>
          <w:rFonts w:cs="Arial"/>
        </w:rPr>
      </w:pPr>
    </w:p>
    <w:p w:rsidR="003D0FE2" w:rsidRDefault="003D0FE2" w:rsidP="003D0FE2">
      <w:pPr>
        <w:ind w:left="360" w:hanging="360"/>
        <w:rPr>
          <w:rFonts w:cs="Arial"/>
        </w:rPr>
      </w:pPr>
      <w:r>
        <w:rPr>
          <w:rFonts w:cs="Arial"/>
        </w:rPr>
        <w:t>4.</w:t>
      </w:r>
      <w:r>
        <w:rPr>
          <w:rFonts w:cs="Arial"/>
        </w:rPr>
        <w:tab/>
        <w:t>Auswirkungen auf den Haushalt der Stadt</w:t>
      </w:r>
    </w:p>
    <w:p w:rsidR="003D0FE2" w:rsidRPr="00E2106D" w:rsidRDefault="003D0FE2" w:rsidP="003D0FE2">
      <w:pPr>
        <w:ind w:left="720" w:hanging="360"/>
        <w:rPr>
          <w:rFonts w:cs="Arial"/>
        </w:rPr>
      </w:pPr>
      <w:r>
        <w:rPr>
          <w:rFonts w:cs="Arial"/>
        </w:rPr>
        <w:t>a)</w:t>
      </w:r>
      <w:r>
        <w:rPr>
          <w:rFonts w:cs="Arial"/>
        </w:rPr>
        <w:tab/>
      </w:r>
      <w:r w:rsidRPr="00E2106D">
        <w:rPr>
          <w:rFonts w:cs="Arial"/>
        </w:rPr>
        <w:t xml:space="preserve">Für die Entwässerung von Straßen, Wegen und Plätzen </w:t>
      </w:r>
      <w:r>
        <w:rPr>
          <w:rFonts w:cs="Arial"/>
        </w:rPr>
        <w:t xml:space="preserve">zahlt die Stadt einen </w:t>
      </w:r>
      <w:r w:rsidRPr="00E2106D">
        <w:rPr>
          <w:rFonts w:cs="Arial"/>
        </w:rPr>
        <w:t>Koste</w:t>
      </w:r>
      <w:r w:rsidRPr="00E2106D">
        <w:rPr>
          <w:rFonts w:cs="Arial"/>
        </w:rPr>
        <w:t>n</w:t>
      </w:r>
      <w:r w:rsidRPr="00E2106D">
        <w:rPr>
          <w:rFonts w:cs="Arial"/>
        </w:rPr>
        <w:t>anteil von derzeit 3,73 Mio. €. Dieser bestimmt sich aufgrund der anteiligen Betriebs- und Kapitalkosten der Stadt an den Abwasseranlagen.</w:t>
      </w:r>
    </w:p>
    <w:p w:rsidR="003D0FE2" w:rsidRPr="00E2106D" w:rsidRDefault="003D0FE2" w:rsidP="003D0FE2">
      <w:pPr>
        <w:ind w:left="720"/>
        <w:rPr>
          <w:rFonts w:cs="Arial"/>
        </w:rPr>
      </w:pPr>
      <w:r w:rsidRPr="00E2106D">
        <w:rPr>
          <w:rFonts w:cs="Arial"/>
        </w:rPr>
        <w:t xml:space="preserve">Für Zwecke der Verteilung der Hochwasserschutzbeiträge hat die Stadtkämmerei </w:t>
      </w:r>
      <w:r>
        <w:rPr>
          <w:rFonts w:cs="Arial"/>
        </w:rPr>
        <w:t xml:space="preserve">(Steuerabteilung) </w:t>
      </w:r>
      <w:r w:rsidRPr="00E2106D">
        <w:rPr>
          <w:rFonts w:cs="Arial"/>
        </w:rPr>
        <w:t>eine Straßenfläche von</w:t>
      </w:r>
      <w:r>
        <w:rPr>
          <w:rFonts w:cs="Arial"/>
        </w:rPr>
        <w:t xml:space="preserve"> rund</w:t>
      </w:r>
      <w:r w:rsidRPr="00E2106D">
        <w:rPr>
          <w:rFonts w:cs="Arial"/>
        </w:rPr>
        <w:t xml:space="preserve"> </w:t>
      </w:r>
      <w:r w:rsidRPr="00775BA2">
        <w:rPr>
          <w:rFonts w:cs="Arial"/>
        </w:rPr>
        <w:t>5,2 Mio. m</w:t>
      </w:r>
      <w:r w:rsidRPr="00775BA2">
        <w:rPr>
          <w:rFonts w:cs="Arial"/>
          <w:vertAlign w:val="superscript"/>
        </w:rPr>
        <w:t>2</w:t>
      </w:r>
      <w:r>
        <w:rPr>
          <w:rFonts w:cs="Arial"/>
          <w:vertAlign w:val="superscript"/>
        </w:rPr>
        <w:t xml:space="preserve"> </w:t>
      </w:r>
      <w:r>
        <w:rPr>
          <w:rFonts w:cs="Arial"/>
        </w:rPr>
        <w:t>ermittelt</w:t>
      </w:r>
      <w:r w:rsidRPr="00E2106D">
        <w:rPr>
          <w:rFonts w:cs="Arial"/>
        </w:rPr>
        <w:t>. Eine Entsiegelung dieser Flächen dürfte fast gänzlich auszuschließen sein. Ob der o. g. Betrag für die F</w:t>
      </w:r>
      <w:r w:rsidRPr="00E2106D">
        <w:rPr>
          <w:rFonts w:cs="Arial"/>
        </w:rPr>
        <w:t>i</w:t>
      </w:r>
      <w:r w:rsidRPr="00E2106D">
        <w:rPr>
          <w:rFonts w:cs="Arial"/>
        </w:rPr>
        <w:t xml:space="preserve">nanzierung der künftigen Niederschlagswassergebühr ausreicht, </w:t>
      </w:r>
      <w:r>
        <w:rPr>
          <w:rFonts w:cs="Arial"/>
        </w:rPr>
        <w:t>kann noch nicht ve</w:t>
      </w:r>
      <w:r>
        <w:rPr>
          <w:rFonts w:cs="Arial"/>
        </w:rPr>
        <w:t>r</w:t>
      </w:r>
      <w:r>
        <w:rPr>
          <w:rFonts w:cs="Arial"/>
        </w:rPr>
        <w:t>lässlich eing</w:t>
      </w:r>
      <w:r>
        <w:rPr>
          <w:rFonts w:cs="Arial"/>
        </w:rPr>
        <w:t>e</w:t>
      </w:r>
      <w:r>
        <w:rPr>
          <w:rFonts w:cs="Arial"/>
        </w:rPr>
        <w:t>schätzt werden</w:t>
      </w:r>
      <w:r w:rsidRPr="00E2106D">
        <w:rPr>
          <w:rFonts w:cs="Arial"/>
        </w:rPr>
        <w:t>.</w:t>
      </w:r>
    </w:p>
    <w:p w:rsidR="003D0FE2" w:rsidRDefault="003D0FE2" w:rsidP="003D0FE2">
      <w:pPr>
        <w:ind w:left="720" w:hanging="360"/>
        <w:rPr>
          <w:rFonts w:cs="Arial"/>
        </w:rPr>
      </w:pPr>
      <w:r>
        <w:rPr>
          <w:rFonts w:cs="Arial"/>
        </w:rPr>
        <w:t>b)</w:t>
      </w:r>
      <w:r>
        <w:rPr>
          <w:rFonts w:cs="Arial"/>
        </w:rPr>
        <w:tab/>
        <w:t>Auf Schulgrundstücken könnte man allerdings – soweit dieses noch nicht geschehen ist – im Laufe der Zeit die Schulhöfe entsiegeln, soweit die örtlichen Verhältnisse dies zula</w:t>
      </w:r>
      <w:r>
        <w:rPr>
          <w:rFonts w:cs="Arial"/>
        </w:rPr>
        <w:t>s</w:t>
      </w:r>
      <w:r>
        <w:rPr>
          <w:rFonts w:cs="Arial"/>
        </w:rPr>
        <w:t>sen und die finanziellen Mittel zur Verfügung stehen (vgl. dazu jedoch hier Nr. 3c).</w:t>
      </w:r>
    </w:p>
    <w:p w:rsidR="003D0FE2" w:rsidRDefault="003D0FE2" w:rsidP="003D0FE2">
      <w:pPr>
        <w:ind w:left="360"/>
        <w:rPr>
          <w:rFonts w:cs="Arial"/>
        </w:rPr>
      </w:pPr>
    </w:p>
    <w:p w:rsidR="003D0FE2" w:rsidRPr="0038564F" w:rsidRDefault="003D0FE2" w:rsidP="003D0FE2">
      <w:pPr>
        <w:rPr>
          <w:rFonts w:cs="Arial"/>
          <w:b/>
        </w:rPr>
      </w:pPr>
      <w:r w:rsidRPr="0038564F">
        <w:rPr>
          <w:rFonts w:cs="Arial"/>
          <w:b/>
        </w:rPr>
        <w:t>E Beteiligung/Abstimmung</w:t>
      </w:r>
    </w:p>
    <w:p w:rsidR="003D0FE2" w:rsidRDefault="003D0FE2" w:rsidP="003D0FE2">
      <w:pPr>
        <w:rPr>
          <w:rFonts w:cs="Arial"/>
        </w:rPr>
      </w:pPr>
      <w:r>
        <w:rPr>
          <w:rFonts w:cs="Arial"/>
        </w:rPr>
        <w:t>Diese Vorlage ist zwischen den Entsorgungsbetrieben, der Stadtkämmerei (Steuerabteilung) und dem Rechts- und Versicherungsamt abgestimmt. Schulamt, Amt für Straßen- und Br</w:t>
      </w:r>
      <w:r>
        <w:rPr>
          <w:rFonts w:cs="Arial"/>
        </w:rPr>
        <w:t>ü</w:t>
      </w:r>
      <w:r>
        <w:rPr>
          <w:rFonts w:cs="Arial"/>
        </w:rPr>
        <w:t>ckenbau und der Wir</w:t>
      </w:r>
      <w:r>
        <w:rPr>
          <w:rFonts w:cs="Arial"/>
        </w:rPr>
        <w:t>t</w:t>
      </w:r>
      <w:r>
        <w:rPr>
          <w:rFonts w:cs="Arial"/>
        </w:rPr>
        <w:t>schaftsbetrieb Seestadt Immobilien erhielten Kenntnis.</w:t>
      </w:r>
    </w:p>
    <w:p w:rsidR="003D0FE2" w:rsidRDefault="003D0FE2" w:rsidP="003D0FE2">
      <w:pPr>
        <w:rPr>
          <w:rFonts w:cs="Arial"/>
        </w:rPr>
      </w:pPr>
    </w:p>
    <w:p w:rsidR="003D0FE2" w:rsidRDefault="003D0FE2" w:rsidP="003D0FE2">
      <w:pPr>
        <w:rPr>
          <w:rFonts w:cs="Arial"/>
        </w:rPr>
      </w:pPr>
      <w:r>
        <w:rPr>
          <w:rFonts w:cs="Arial"/>
        </w:rPr>
        <w:t>Der Magistrat hat sich in seiner Sitzung am 21.07.2010, der Entsorgungsbetriebsa</w:t>
      </w:r>
      <w:r w:rsidR="00B360CD">
        <w:rPr>
          <w:rFonts w:cs="Arial"/>
        </w:rPr>
        <w:t xml:space="preserve">usschuss in seiner Sitzung am 17.08.2010 </w:t>
      </w:r>
      <w:r>
        <w:rPr>
          <w:rFonts w:cs="Arial"/>
        </w:rPr>
        <w:t>mit der Angelegenheit befasst. Beide befürworten die Einfü</w:t>
      </w:r>
      <w:r>
        <w:rPr>
          <w:rFonts w:cs="Arial"/>
        </w:rPr>
        <w:t>h</w:t>
      </w:r>
      <w:r>
        <w:rPr>
          <w:rFonts w:cs="Arial"/>
        </w:rPr>
        <w:t>rung einer gesplitteten Gebühr entsprechend den Regelungen für die Stadtgemeinde Bremen.</w:t>
      </w:r>
    </w:p>
    <w:p w:rsidR="003D0FE2" w:rsidRPr="002C6597" w:rsidRDefault="003D0FE2" w:rsidP="003D0FE2">
      <w:pPr>
        <w:rPr>
          <w:rFonts w:cs="Arial"/>
        </w:rPr>
      </w:pPr>
    </w:p>
    <w:p w:rsidR="003D0FE2" w:rsidRPr="002C6597" w:rsidRDefault="003D0FE2" w:rsidP="003D0FE2">
      <w:pPr>
        <w:rPr>
          <w:rFonts w:cs="Arial"/>
        </w:rPr>
      </w:pPr>
      <w:r w:rsidRPr="002C6597">
        <w:rPr>
          <w:rFonts w:cs="Arial"/>
        </w:rPr>
        <w:t>Für eine Gleichstellungsrelevanz gibt es keine Anhaltspunkte.</w:t>
      </w:r>
    </w:p>
    <w:p w:rsidR="00B360CD" w:rsidRPr="002C6597" w:rsidRDefault="00E61975" w:rsidP="003D0FE2">
      <w:pPr>
        <w:rPr>
          <w:rFonts w:cs="Arial"/>
        </w:rPr>
      </w:pPr>
      <w:r>
        <w:rPr>
          <w:rFonts w:cs="Arial"/>
        </w:rPr>
        <w:br w:type="column"/>
      </w:r>
    </w:p>
    <w:p w:rsidR="003D0FE2" w:rsidRPr="0044453F" w:rsidRDefault="003D0FE2" w:rsidP="003D0FE2">
      <w:pPr>
        <w:rPr>
          <w:rFonts w:cs="Arial"/>
          <w:b/>
        </w:rPr>
      </w:pPr>
      <w:r w:rsidRPr="0038564F">
        <w:rPr>
          <w:rFonts w:cs="Arial"/>
          <w:b/>
        </w:rPr>
        <w:t>F Öffentlichkeitsarbeit/Veröffentlichung nach dem BremIFG</w:t>
      </w:r>
    </w:p>
    <w:p w:rsidR="003D0FE2" w:rsidRDefault="003D0FE2" w:rsidP="003D0FE2">
      <w:pPr>
        <w:pStyle w:val="Textkrper"/>
        <w:rPr>
          <w:color w:val="auto"/>
        </w:rPr>
      </w:pPr>
      <w:r>
        <w:rPr>
          <w:color w:val="auto"/>
        </w:rPr>
        <w:t>Gegen eine Veröffentlichung bestehen keine Bedenken. Zu gegebener Zeit erfolgt eine Ve</w:t>
      </w:r>
      <w:r>
        <w:rPr>
          <w:color w:val="auto"/>
        </w:rPr>
        <w:t>r</w:t>
      </w:r>
      <w:r>
        <w:rPr>
          <w:color w:val="auto"/>
        </w:rPr>
        <w:t>kündung des Ortsgesetzes im Gesetzblatt der Freien Hansestadt Bremen. Damit ist eine Ve</w:t>
      </w:r>
      <w:r>
        <w:rPr>
          <w:color w:val="auto"/>
        </w:rPr>
        <w:t>r</w:t>
      </w:r>
      <w:r>
        <w:rPr>
          <w:color w:val="auto"/>
        </w:rPr>
        <w:t>öffentlichung im zentralen elektronischen Informationsregister nach dem BremIFG sicherg</w:t>
      </w:r>
      <w:r>
        <w:rPr>
          <w:color w:val="auto"/>
        </w:rPr>
        <w:t>e</w:t>
      </w:r>
      <w:r>
        <w:rPr>
          <w:color w:val="auto"/>
        </w:rPr>
        <w:t>stellt.</w:t>
      </w:r>
    </w:p>
    <w:p w:rsidR="00E54AB6" w:rsidRPr="0069362F" w:rsidRDefault="00E54AB6" w:rsidP="0069362F"/>
    <w:p w:rsidR="00E54AB6" w:rsidRPr="0069362F" w:rsidRDefault="003D0FE2" w:rsidP="00A54B2F">
      <w:pPr>
        <w:rPr>
          <w:b/>
        </w:rPr>
      </w:pPr>
      <w:bookmarkStart w:id="1" w:name="VLGSachText__END__45373"/>
      <w:bookmarkEnd w:id="1"/>
      <w:r w:rsidRPr="003D0FE2">
        <w:rPr>
          <w:b/>
          <w:vanish/>
          <w:color w:val="FF0000"/>
        </w:rPr>
        <w:t xml:space="preserve"> &lt;-@</w:t>
      </w:r>
      <w:r w:rsidR="00E54AB6" w:rsidRPr="0069362F">
        <w:rPr>
          <w:b/>
        </w:rPr>
        <w:t>G Beschlussvorschlag</w:t>
      </w:r>
      <w:r w:rsidRPr="003D0FE2">
        <w:rPr>
          <w:b/>
          <w:vanish/>
          <w:color w:val="FF0000"/>
        </w:rPr>
        <w:t xml:space="preserve">@-&gt; </w:t>
      </w:r>
      <w:r>
        <w:rPr>
          <w:b/>
        </w:rPr>
        <w:t xml:space="preserve"> </w:t>
      </w:r>
    </w:p>
    <w:p w:rsidR="00B360CD" w:rsidRDefault="003D0FE2" w:rsidP="003D0FE2">
      <w:pPr>
        <w:widowControl/>
        <w:ind w:left="-57"/>
        <w:rPr>
          <w:vanish/>
        </w:rPr>
      </w:pPr>
      <w:bookmarkStart w:id="2" w:name="VLGBeschlText__START__45375"/>
      <w:bookmarkEnd w:id="2"/>
      <w:r w:rsidRPr="003D0FE2">
        <w:rPr>
          <w:vanish/>
        </w:rPr>
        <w:t xml:space="preserve"> </w:t>
      </w:r>
    </w:p>
    <w:p w:rsidR="003D0FE2" w:rsidRPr="00EB54CD" w:rsidRDefault="003D0FE2" w:rsidP="00A54B2F">
      <w:pPr>
        <w:widowControl/>
        <w:rPr>
          <w:szCs w:val="22"/>
        </w:rPr>
      </w:pPr>
      <w:r>
        <w:rPr>
          <w:szCs w:val="22"/>
        </w:rPr>
        <w:t>Die Stadtverordnetenversammlung wird gebeten, folgende Beschlüsse zu fassen:</w:t>
      </w:r>
    </w:p>
    <w:p w:rsidR="003D0FE2" w:rsidRPr="00B80C61" w:rsidRDefault="003D0FE2" w:rsidP="003D0FE2">
      <w:pPr>
        <w:widowControl/>
        <w:ind w:left="-57"/>
        <w:rPr>
          <w:rFonts w:cs="Arial"/>
          <w:szCs w:val="22"/>
        </w:rPr>
      </w:pPr>
    </w:p>
    <w:p w:rsidR="003D0FE2" w:rsidRDefault="003D0FE2" w:rsidP="003D0FE2">
      <w:pPr>
        <w:ind w:left="360" w:hanging="360"/>
        <w:rPr>
          <w:rFonts w:cs="Arial"/>
        </w:rPr>
      </w:pPr>
      <w:bookmarkStart w:id="3" w:name="VLGBeschlText__START__44688"/>
      <w:bookmarkEnd w:id="3"/>
      <w:r>
        <w:rPr>
          <w:rFonts w:cs="Arial"/>
        </w:rPr>
        <w:t>a)</w:t>
      </w:r>
      <w:r>
        <w:rPr>
          <w:rFonts w:cs="Arial"/>
        </w:rPr>
        <w:tab/>
        <w:t>In Bremerhaven wird zum nächstmöglichen Zeitpunkt eine gesplittete Kanalbenutzungsg</w:t>
      </w:r>
      <w:r>
        <w:rPr>
          <w:rFonts w:cs="Arial"/>
        </w:rPr>
        <w:t>e</w:t>
      </w:r>
      <w:r>
        <w:rPr>
          <w:rFonts w:cs="Arial"/>
        </w:rPr>
        <w:t>bühr entsprechend den Regelungen für die Stadtgemeinde Bremen („Freiburger Modell“) eing</w:t>
      </w:r>
      <w:r>
        <w:rPr>
          <w:rFonts w:cs="Arial"/>
        </w:rPr>
        <w:t>e</w:t>
      </w:r>
      <w:r>
        <w:rPr>
          <w:rFonts w:cs="Arial"/>
        </w:rPr>
        <w:t>führt.</w:t>
      </w:r>
    </w:p>
    <w:p w:rsidR="003D0FE2" w:rsidRDefault="003D0FE2" w:rsidP="003D0FE2">
      <w:pPr>
        <w:ind w:left="360" w:hanging="360"/>
        <w:rPr>
          <w:rFonts w:cs="Arial"/>
        </w:rPr>
      </w:pPr>
      <w:r>
        <w:rPr>
          <w:rFonts w:cs="Arial"/>
        </w:rPr>
        <w:t>b)</w:t>
      </w:r>
      <w:r>
        <w:rPr>
          <w:rFonts w:cs="Arial"/>
        </w:rPr>
        <w:tab/>
        <w:t>Die Stadtverordnetenversammlung beschließt den anliegenden Entwurf eines Ortsgese</w:t>
      </w:r>
      <w:r>
        <w:rPr>
          <w:rFonts w:cs="Arial"/>
        </w:rPr>
        <w:t>t</w:t>
      </w:r>
      <w:r>
        <w:rPr>
          <w:rFonts w:cs="Arial"/>
        </w:rPr>
        <w:t>zes zur Änderung entwässerungsrechtlicher Vorschriften als Ortsgesetz.</w:t>
      </w:r>
    </w:p>
    <w:p w:rsidR="003D0FE2" w:rsidRPr="00B80C61" w:rsidRDefault="003D0FE2" w:rsidP="003D0FE2">
      <w:pPr>
        <w:widowControl/>
        <w:rPr>
          <w:rFonts w:cs="Arial"/>
          <w:szCs w:val="22"/>
        </w:rPr>
      </w:pPr>
    </w:p>
    <w:p w:rsidR="003D0FE2" w:rsidRPr="00B80C61" w:rsidRDefault="003D0FE2" w:rsidP="003D0FE2">
      <w:pPr>
        <w:widowControl/>
        <w:rPr>
          <w:rFonts w:cs="Arial"/>
          <w:szCs w:val="22"/>
        </w:rPr>
      </w:pPr>
      <w:bookmarkStart w:id="4" w:name="VLGBeschlText__END__44688"/>
      <w:bookmarkEnd w:id="4"/>
    </w:p>
    <w:p w:rsidR="003D0FE2" w:rsidRPr="00B80C61" w:rsidRDefault="00AD0404" w:rsidP="003D0FE2">
      <w:pPr>
        <w:widowControl/>
        <w:rPr>
          <w:rFonts w:cs="Arial"/>
          <w:szCs w:val="22"/>
        </w:rPr>
      </w:pPr>
      <w:r>
        <w:rPr>
          <w:rFonts w:cs="Arial"/>
          <w:szCs w:val="22"/>
        </w:rPr>
        <w:t>gez.</w:t>
      </w:r>
    </w:p>
    <w:p w:rsidR="003D0FE2" w:rsidRPr="00B80C61" w:rsidRDefault="003D0FE2" w:rsidP="003D0FE2">
      <w:pPr>
        <w:widowControl/>
        <w:tabs>
          <w:tab w:val="left" w:pos="567"/>
        </w:tabs>
        <w:rPr>
          <w:rFonts w:cs="Arial"/>
          <w:szCs w:val="22"/>
        </w:rPr>
      </w:pPr>
    </w:p>
    <w:p w:rsidR="003D0FE2" w:rsidRDefault="003D0FE2" w:rsidP="003D0FE2">
      <w:pPr>
        <w:widowControl/>
        <w:tabs>
          <w:tab w:val="left" w:pos="567"/>
        </w:tabs>
        <w:rPr>
          <w:rFonts w:cs="Arial"/>
          <w:szCs w:val="22"/>
        </w:rPr>
      </w:pPr>
      <w:r>
        <w:rPr>
          <w:rFonts w:cs="Arial"/>
          <w:szCs w:val="22"/>
        </w:rPr>
        <w:t>Schulz</w:t>
      </w:r>
    </w:p>
    <w:p w:rsidR="003D0FE2" w:rsidRPr="00B80C61" w:rsidRDefault="003D0FE2" w:rsidP="003D0FE2">
      <w:pPr>
        <w:widowControl/>
        <w:tabs>
          <w:tab w:val="left" w:pos="567"/>
        </w:tabs>
        <w:rPr>
          <w:rFonts w:cs="Arial"/>
          <w:szCs w:val="22"/>
        </w:rPr>
      </w:pPr>
      <w:r>
        <w:rPr>
          <w:rFonts w:cs="Arial"/>
          <w:szCs w:val="22"/>
        </w:rPr>
        <w:t>Oberbürgermeister</w:t>
      </w:r>
    </w:p>
    <w:p w:rsidR="00E54AB6" w:rsidRPr="0069362F" w:rsidRDefault="00E54AB6" w:rsidP="0018234F"/>
    <w:p w:rsidR="00E54AB6" w:rsidRPr="003D0FE2" w:rsidRDefault="003D0FE2" w:rsidP="0069362F">
      <w:pPr>
        <w:rPr>
          <w:vanish/>
          <w:color w:val="FF0000"/>
        </w:rPr>
      </w:pPr>
      <w:bookmarkStart w:id="5" w:name="VLGBeschlText__END__45375"/>
      <w:bookmarkEnd w:id="5"/>
      <w:r>
        <w:t xml:space="preserve"> </w:t>
      </w:r>
      <w:r w:rsidRPr="003D0FE2">
        <w:rPr>
          <w:vanish/>
          <w:color w:val="FF0000"/>
        </w:rPr>
        <w:t xml:space="preserve"> &lt;-@</w:t>
      </w:r>
    </w:p>
    <w:p w:rsidR="00E54AB6" w:rsidRPr="0069362F" w:rsidRDefault="00E54AB6" w:rsidP="0069362F"/>
    <w:p w:rsidR="00E54AB6" w:rsidRPr="0069362F" w:rsidRDefault="00E54AB6" w:rsidP="0069362F"/>
    <w:p w:rsidR="00E25CA6" w:rsidRDefault="00E25CA6" w:rsidP="0069362F"/>
    <w:p w:rsidR="00E54AB6" w:rsidRPr="0069362F" w:rsidRDefault="00E54AB6" w:rsidP="0069362F"/>
    <w:p w:rsidR="00E54AB6" w:rsidRDefault="00B360CD" w:rsidP="00B360CD">
      <w:pPr>
        <w:ind w:left="1134" w:hanging="1134"/>
      </w:pPr>
      <w:bookmarkStart w:id="6" w:name="ANL_START_MULTI"/>
      <w:bookmarkStart w:id="7" w:name="OLE_LINK1"/>
      <w:bookmarkEnd w:id="6"/>
      <w:r w:rsidRPr="00B360CD">
        <w:rPr>
          <w:b/>
        </w:rPr>
        <w:t>Anlage 1:</w:t>
      </w:r>
      <w:r>
        <w:tab/>
      </w:r>
      <w:r w:rsidR="003D0FE2">
        <w:t>Entwurf Ortsgesetz zur Änderung entwässerungsrechtlicher Vorschriften der Stadt Bremerhaven</w:t>
      </w:r>
    </w:p>
    <w:bookmarkEnd w:id="7"/>
    <w:p w:rsidR="003D0FE2" w:rsidRDefault="003D0FE2" w:rsidP="00B360CD">
      <w:pPr>
        <w:ind w:left="1134" w:hanging="1134"/>
      </w:pPr>
      <w:r w:rsidRPr="00B360CD">
        <w:rPr>
          <w:b/>
        </w:rPr>
        <w:t>Anlage 2:</w:t>
      </w:r>
      <w:r>
        <w:t xml:space="preserve"> </w:t>
      </w:r>
      <w:r w:rsidR="00B360CD">
        <w:tab/>
      </w:r>
      <w:r>
        <w:t>Auswirkungen der Einführung der gesplitteten Kanalbenutzungsgebühr an Fallbe</w:t>
      </w:r>
      <w:r>
        <w:t>i</w:t>
      </w:r>
      <w:r>
        <w:t>spielen</w:t>
      </w:r>
    </w:p>
    <w:p w:rsidR="00F02905" w:rsidRDefault="00F02905" w:rsidP="0069362F">
      <w:bookmarkStart w:id="8" w:name="ANL_END_MULTI"/>
      <w:bookmarkEnd w:id="8"/>
    </w:p>
    <w:p w:rsidR="00C577AC" w:rsidRPr="0069362F" w:rsidRDefault="00C577AC" w:rsidP="0069362F"/>
    <w:sectPr w:rsidR="00C577AC" w:rsidRPr="0069362F">
      <w:headerReference w:type="even" r:id="rId7"/>
      <w:headerReference w:type="default" r:id="rId8"/>
      <w:footerReference w:type="even" r:id="rId9"/>
      <w:footerReference w:type="default" r:id="rId10"/>
      <w:headerReference w:type="first" r:id="rId11"/>
      <w:footerReference w:type="first" r:id="rId12"/>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22F6C" w:rsidRDefault="00D22F6C">
      <w:r>
        <w:separator/>
      </w:r>
    </w:p>
  </w:endnote>
  <w:endnote w:type="continuationSeparator" w:id="0">
    <w:p w:rsidR="00D22F6C" w:rsidRDefault="00D22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poS">
    <w:altName w:val="Calibri"/>
    <w:charset w:val="00"/>
    <w:family w:val="swiss"/>
    <w:pitch w:val="variable"/>
    <w:sig w:usb0="800000AF" w:usb1="0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45026" w:rsidRDefault="00B45026">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45026" w:rsidRDefault="00B45026">
    <w:pPr>
      <w:pStyle w:val="Fuzeile"/>
      <w:widowContr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45026" w:rsidRDefault="00B45026">
    <w:pPr>
      <w:pStyle w:val="Fuzeile"/>
      <w:widowContr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22F6C" w:rsidRDefault="00D22F6C">
      <w:r>
        <w:separator/>
      </w:r>
    </w:p>
  </w:footnote>
  <w:footnote w:type="continuationSeparator" w:id="0">
    <w:p w:rsidR="00D22F6C" w:rsidRDefault="00D22F6C">
      <w:r>
        <w:continuationSeparator/>
      </w:r>
    </w:p>
  </w:footnote>
  <w:footnote w:id="1">
    <w:p w:rsidR="003D0FE2" w:rsidRPr="00951385" w:rsidRDefault="003D0FE2" w:rsidP="003D0FE2">
      <w:pPr>
        <w:pStyle w:val="Funotentext"/>
        <w:ind w:left="180" w:hanging="180"/>
        <w:jc w:val="both"/>
        <w:rPr>
          <w:rFonts w:ascii="Arial" w:hAnsi="Arial" w:cs="Arial"/>
        </w:rPr>
      </w:pPr>
      <w:r w:rsidRPr="00951385">
        <w:rPr>
          <w:rStyle w:val="Funotenzeichen"/>
          <w:rFonts w:ascii="Arial" w:hAnsi="Arial" w:cs="Arial"/>
        </w:rPr>
        <w:footnoteRef/>
      </w:r>
      <w:r>
        <w:rPr>
          <w:rFonts w:ascii="Arial" w:hAnsi="Arial" w:cs="Arial"/>
        </w:rPr>
        <w:tab/>
      </w:r>
      <w:r w:rsidRPr="00951385">
        <w:rPr>
          <w:rFonts w:ascii="Arial" w:hAnsi="Arial" w:cs="Arial"/>
        </w:rPr>
        <w:t>Das Verhältnis der Kosten der Schmutzwasserentsorgung zu denen der Niederschlagswasserentso</w:t>
      </w:r>
      <w:r w:rsidRPr="00951385">
        <w:rPr>
          <w:rFonts w:ascii="Arial" w:hAnsi="Arial" w:cs="Arial"/>
        </w:rPr>
        <w:t>r</w:t>
      </w:r>
      <w:r>
        <w:rPr>
          <w:rFonts w:ascii="Arial" w:hAnsi="Arial" w:cs="Arial"/>
        </w:rPr>
        <w:t xml:space="preserve">gung </w:t>
      </w:r>
      <w:r w:rsidRPr="00951385">
        <w:rPr>
          <w:rFonts w:ascii="Arial" w:hAnsi="Arial" w:cs="Arial"/>
        </w:rPr>
        <w:t xml:space="preserve">wurde </w:t>
      </w:r>
      <w:r>
        <w:rPr>
          <w:rFonts w:ascii="Arial" w:hAnsi="Arial" w:cs="Arial"/>
        </w:rPr>
        <w:t xml:space="preserve">unter Berücksichtigung der örtlichen Verhältnisse </w:t>
      </w:r>
      <w:r w:rsidRPr="0044453F">
        <w:rPr>
          <w:rFonts w:ascii="Arial" w:hAnsi="Arial" w:cs="Arial"/>
          <w:b/>
        </w:rPr>
        <w:t xml:space="preserve">nur oberflächlich </w:t>
      </w:r>
      <w:r w:rsidRPr="00951385">
        <w:rPr>
          <w:rFonts w:ascii="Arial" w:hAnsi="Arial" w:cs="Arial"/>
        </w:rPr>
        <w:t xml:space="preserve">geschätzt. </w:t>
      </w:r>
      <w:r>
        <w:rPr>
          <w:rFonts w:ascii="Arial" w:hAnsi="Arial" w:cs="Arial"/>
        </w:rPr>
        <w:t>Bremen legt seiner ersten - groben - Schätzung ein Verhältnis von 74,2 % :</w:t>
      </w:r>
      <w:r w:rsidRPr="00951385">
        <w:rPr>
          <w:rFonts w:ascii="Arial" w:hAnsi="Arial" w:cs="Arial"/>
        </w:rPr>
        <w:t xml:space="preserve"> 25,8 % zugru</w:t>
      </w:r>
      <w:r w:rsidRPr="00951385">
        <w:rPr>
          <w:rFonts w:ascii="Arial" w:hAnsi="Arial" w:cs="Arial"/>
        </w:rPr>
        <w:t>n</w:t>
      </w:r>
      <w:r w:rsidRPr="00951385">
        <w:rPr>
          <w:rFonts w:ascii="Arial" w:hAnsi="Arial" w:cs="Arial"/>
        </w:rPr>
        <w:t xml:space="preserve">de. </w:t>
      </w:r>
    </w:p>
  </w:footnote>
  <w:footnote w:id="2">
    <w:p w:rsidR="003D0FE2" w:rsidRPr="00FE0AD5" w:rsidRDefault="003D0FE2" w:rsidP="003D0FE2">
      <w:pPr>
        <w:pStyle w:val="Funotentext"/>
        <w:ind w:left="180" w:hanging="180"/>
        <w:jc w:val="both"/>
        <w:rPr>
          <w:rFonts w:ascii="Arial" w:hAnsi="Arial" w:cs="Arial"/>
        </w:rPr>
      </w:pPr>
      <w:r w:rsidRPr="00FE0AD5">
        <w:rPr>
          <w:rStyle w:val="Funotenzeichen"/>
          <w:rFonts w:ascii="Arial" w:hAnsi="Arial" w:cs="Arial"/>
        </w:rPr>
        <w:footnoteRef/>
      </w:r>
      <w:r>
        <w:rPr>
          <w:rFonts w:ascii="Arial" w:hAnsi="Arial" w:cs="Arial"/>
        </w:rPr>
        <w:tab/>
      </w:r>
      <w:r w:rsidRPr="00FE0AD5">
        <w:rPr>
          <w:rFonts w:ascii="Arial" w:hAnsi="Arial" w:cs="Arial"/>
        </w:rPr>
        <w:t>Da je nach Art der Oberflächenversiegelung (z. B. durch Asphalt/Beton oder Rasengittersteine) unte</w:t>
      </w:r>
      <w:r w:rsidRPr="00FE0AD5">
        <w:rPr>
          <w:rFonts w:ascii="Arial" w:hAnsi="Arial" w:cs="Arial"/>
        </w:rPr>
        <w:t>r</w:t>
      </w:r>
      <w:r w:rsidRPr="00FE0AD5">
        <w:rPr>
          <w:rFonts w:ascii="Arial" w:hAnsi="Arial" w:cs="Arial"/>
        </w:rPr>
        <w:t xml:space="preserve">schiedlich viel Niederschlagswasser in die öffentlichen Abwasseranlagen fließen kann, ist </w:t>
      </w:r>
      <w:r>
        <w:rPr>
          <w:rFonts w:ascii="Arial" w:hAnsi="Arial" w:cs="Arial"/>
        </w:rPr>
        <w:t>zu gegeb</w:t>
      </w:r>
      <w:r>
        <w:rPr>
          <w:rFonts w:ascii="Arial" w:hAnsi="Arial" w:cs="Arial"/>
        </w:rPr>
        <w:t>e</w:t>
      </w:r>
      <w:r>
        <w:rPr>
          <w:rFonts w:ascii="Arial" w:hAnsi="Arial" w:cs="Arial"/>
        </w:rPr>
        <w:t xml:space="preserve">ner Zeit </w:t>
      </w:r>
      <w:r w:rsidRPr="00FE0AD5">
        <w:rPr>
          <w:rFonts w:ascii="Arial" w:hAnsi="Arial" w:cs="Arial"/>
        </w:rPr>
        <w:t xml:space="preserve">eine Flächendifferenzierung verbunden mit der Festlegung sog. Abflussbeiwerte </w:t>
      </w:r>
      <w:r>
        <w:rPr>
          <w:rFonts w:ascii="Arial" w:hAnsi="Arial" w:cs="Arial"/>
        </w:rPr>
        <w:t>(etwa A</w:t>
      </w:r>
      <w:r>
        <w:rPr>
          <w:rFonts w:ascii="Arial" w:hAnsi="Arial" w:cs="Arial"/>
        </w:rPr>
        <w:t>s</w:t>
      </w:r>
      <w:r>
        <w:rPr>
          <w:rFonts w:ascii="Arial" w:hAnsi="Arial" w:cs="Arial"/>
        </w:rPr>
        <w:t xml:space="preserve">phalt: 1,0 oder Rasengittersteine 0,3 multipliziert mit der jeweiligen Fläche) </w:t>
      </w:r>
      <w:r w:rsidRPr="00FE0AD5">
        <w:rPr>
          <w:rFonts w:ascii="Arial" w:hAnsi="Arial" w:cs="Arial"/>
        </w:rPr>
        <w:t>e</w:t>
      </w:r>
      <w:r w:rsidRPr="00FE0AD5">
        <w:rPr>
          <w:rFonts w:ascii="Arial" w:hAnsi="Arial" w:cs="Arial"/>
        </w:rPr>
        <w:t>r</w:t>
      </w:r>
      <w:r w:rsidRPr="00FE0AD5">
        <w:rPr>
          <w:rFonts w:ascii="Arial" w:hAnsi="Arial" w:cs="Arial"/>
        </w:rPr>
        <w:t>forderlich.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45026" w:rsidRDefault="00B45026">
    <w:pPr>
      <w:pStyle w:val="Kopfzeil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45026" w:rsidRPr="00307373" w:rsidRDefault="00B45026">
    <w:pPr>
      <w:pStyle w:val="Kopfzeile"/>
      <w:widowControl/>
      <w:jc w:val="center"/>
      <w:rPr>
        <w:rFonts w:cs="Arial"/>
        <w:szCs w:val="22"/>
      </w:rPr>
    </w:pPr>
    <w:r w:rsidRPr="00307373">
      <w:rPr>
        <w:rFonts w:cs="Arial"/>
        <w:szCs w:val="22"/>
      </w:rPr>
      <w:t xml:space="preserve">- </w:t>
    </w:r>
    <w:r w:rsidRPr="00307373">
      <w:rPr>
        <w:rStyle w:val="Seitenzahl"/>
        <w:rFonts w:cs="Arial"/>
        <w:szCs w:val="22"/>
      </w:rPr>
      <w:fldChar w:fldCharType="begin"/>
    </w:r>
    <w:r w:rsidRPr="00307373">
      <w:rPr>
        <w:rStyle w:val="Seitenzahl"/>
        <w:rFonts w:cs="Arial"/>
        <w:szCs w:val="22"/>
      </w:rPr>
      <w:instrText xml:space="preserve"> PAGE </w:instrText>
    </w:r>
    <w:r w:rsidRPr="00307373">
      <w:rPr>
        <w:rStyle w:val="Seitenzahl"/>
        <w:rFonts w:cs="Arial"/>
        <w:szCs w:val="22"/>
      </w:rPr>
      <w:fldChar w:fldCharType="separate"/>
    </w:r>
    <w:r w:rsidR="00666B6D">
      <w:rPr>
        <w:rStyle w:val="Seitenzahl"/>
        <w:rFonts w:cs="Arial"/>
        <w:noProof/>
        <w:szCs w:val="22"/>
      </w:rPr>
      <w:t>4</w:t>
    </w:r>
    <w:r w:rsidRPr="00307373">
      <w:rPr>
        <w:rStyle w:val="Seitenzahl"/>
        <w:rFonts w:cs="Arial"/>
        <w:szCs w:val="22"/>
      </w:rPr>
      <w:fldChar w:fldCharType="end"/>
    </w:r>
    <w:r>
      <w:rPr>
        <w:rFonts w:cs="Arial"/>
        <w:szCs w:val="22"/>
      </w:rPr>
      <w:t xml:space="preserve"> -</w:t>
    </w:r>
  </w:p>
  <w:p w:rsidR="00B45026" w:rsidRDefault="00B45026">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45026" w:rsidRDefault="00B45026">
    <w:pPr>
      <w:pStyle w:val="Kopfzeile"/>
      <w:widowControl/>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54AB6"/>
    <w:rsid w:val="000C7678"/>
    <w:rsid w:val="00135FED"/>
    <w:rsid w:val="00162F6C"/>
    <w:rsid w:val="00177529"/>
    <w:rsid w:val="0018234F"/>
    <w:rsid w:val="001C2B9D"/>
    <w:rsid w:val="001D609B"/>
    <w:rsid w:val="001D754D"/>
    <w:rsid w:val="0025246A"/>
    <w:rsid w:val="00254D2B"/>
    <w:rsid w:val="002B6533"/>
    <w:rsid w:val="002E30B1"/>
    <w:rsid w:val="002E3930"/>
    <w:rsid w:val="00307373"/>
    <w:rsid w:val="003924CF"/>
    <w:rsid w:val="003D0FE2"/>
    <w:rsid w:val="003D1405"/>
    <w:rsid w:val="003D16D8"/>
    <w:rsid w:val="003D75E8"/>
    <w:rsid w:val="00405C76"/>
    <w:rsid w:val="0043705F"/>
    <w:rsid w:val="00437BAD"/>
    <w:rsid w:val="00445899"/>
    <w:rsid w:val="004754DF"/>
    <w:rsid w:val="004953D2"/>
    <w:rsid w:val="004A3C6B"/>
    <w:rsid w:val="004C47E4"/>
    <w:rsid w:val="0050749F"/>
    <w:rsid w:val="00511D9A"/>
    <w:rsid w:val="00542D66"/>
    <w:rsid w:val="0057342C"/>
    <w:rsid w:val="00574158"/>
    <w:rsid w:val="00647355"/>
    <w:rsid w:val="006503C7"/>
    <w:rsid w:val="00666B6D"/>
    <w:rsid w:val="006931EA"/>
    <w:rsid w:val="0069362F"/>
    <w:rsid w:val="006A5580"/>
    <w:rsid w:val="007A3C47"/>
    <w:rsid w:val="007C26ED"/>
    <w:rsid w:val="007C6D6B"/>
    <w:rsid w:val="007C72A4"/>
    <w:rsid w:val="008104EE"/>
    <w:rsid w:val="00811ADE"/>
    <w:rsid w:val="00841BEF"/>
    <w:rsid w:val="008852E0"/>
    <w:rsid w:val="008C3F09"/>
    <w:rsid w:val="008D3B33"/>
    <w:rsid w:val="008E4275"/>
    <w:rsid w:val="0092669E"/>
    <w:rsid w:val="00950447"/>
    <w:rsid w:val="00981D1E"/>
    <w:rsid w:val="009A1708"/>
    <w:rsid w:val="009C0BA6"/>
    <w:rsid w:val="009D3DD5"/>
    <w:rsid w:val="00A32CDD"/>
    <w:rsid w:val="00A3430C"/>
    <w:rsid w:val="00A54B2F"/>
    <w:rsid w:val="00A947BC"/>
    <w:rsid w:val="00A96DB2"/>
    <w:rsid w:val="00AD0404"/>
    <w:rsid w:val="00B220F9"/>
    <w:rsid w:val="00B26E69"/>
    <w:rsid w:val="00B360CD"/>
    <w:rsid w:val="00B45026"/>
    <w:rsid w:val="00B512B0"/>
    <w:rsid w:val="00BD06B9"/>
    <w:rsid w:val="00BE158E"/>
    <w:rsid w:val="00BE3155"/>
    <w:rsid w:val="00C00A27"/>
    <w:rsid w:val="00C0711A"/>
    <w:rsid w:val="00C35A99"/>
    <w:rsid w:val="00C36818"/>
    <w:rsid w:val="00C577AC"/>
    <w:rsid w:val="00CA7792"/>
    <w:rsid w:val="00CB39C3"/>
    <w:rsid w:val="00CE104A"/>
    <w:rsid w:val="00D1225A"/>
    <w:rsid w:val="00D22F6C"/>
    <w:rsid w:val="00D525F9"/>
    <w:rsid w:val="00D60EF5"/>
    <w:rsid w:val="00D61906"/>
    <w:rsid w:val="00D70A79"/>
    <w:rsid w:val="00D7419A"/>
    <w:rsid w:val="00DB283A"/>
    <w:rsid w:val="00DB7148"/>
    <w:rsid w:val="00E22833"/>
    <w:rsid w:val="00E25CA6"/>
    <w:rsid w:val="00E4660B"/>
    <w:rsid w:val="00E54AB6"/>
    <w:rsid w:val="00E61975"/>
    <w:rsid w:val="00EA746D"/>
    <w:rsid w:val="00EF7AA6"/>
    <w:rsid w:val="00F02905"/>
    <w:rsid w:val="00F05C66"/>
    <w:rsid w:val="00F835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50"/>
    <o:shapelayout v:ext="edit">
      <o:idmap v:ext="edit" data="1"/>
    </o:shapelayout>
  </w:shapeDefaults>
  <w:decimalSymbol w:val=","/>
  <w:listSeparator w:val=";"/>
  <w15:chartTrackingRefBased/>
  <w15:docId w15:val="{1DB84C67-3FAA-4748-80EB-4CFF831A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D0FE2"/>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rsid w:val="0018234F"/>
  </w:style>
  <w:style w:type="table" w:styleId="Tabellenraster">
    <w:name w:val="Table Grid"/>
    <w:basedOn w:val="NormaleTabelle"/>
    <w:rsid w:val="003D0F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semiHidden/>
    <w:rsid w:val="003D0FE2"/>
    <w:pPr>
      <w:widowControl/>
      <w:jc w:val="left"/>
    </w:pPr>
    <w:rPr>
      <w:rFonts w:ascii="Times New Roman" w:hAnsi="Times New Roman"/>
      <w:sz w:val="20"/>
    </w:rPr>
  </w:style>
  <w:style w:type="character" w:styleId="Funotenzeichen">
    <w:name w:val="footnote reference"/>
    <w:semiHidden/>
    <w:rsid w:val="003D0FE2"/>
    <w:rPr>
      <w:vertAlign w:val="superscript"/>
    </w:rPr>
  </w:style>
  <w:style w:type="paragraph" w:styleId="Textkrper">
    <w:name w:val="Body Text"/>
    <w:basedOn w:val="Standard"/>
    <w:rsid w:val="003D0FE2"/>
    <w:rPr>
      <w:color w:val="33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1871</Words>
  <Characters>11789</Characters>
  <Application>Microsoft Office Word</Application>
  <DocSecurity>0</DocSecurity>
  <Lines>98</Lines>
  <Paragraphs>27</Paragraphs>
  <ScaleCrop>false</ScaleCrop>
  <HeadingPairs>
    <vt:vector size="2" baseType="variant">
      <vt:variant>
        <vt:lpstr>Titel</vt:lpstr>
      </vt:variant>
      <vt:variant>
        <vt:i4>1</vt:i4>
      </vt:variant>
    </vt:vector>
  </HeadingPairs>
  <TitlesOfParts>
    <vt:vector size="1" baseType="lpstr">
      <vt:lpstr>Vorlage </vt:lpstr>
    </vt:vector>
  </TitlesOfParts>
  <Company>Magistrat d. Stadt Bremerhave</Company>
  <LinksUpToDate>false</LinksUpToDate>
  <CharactersWithSpaces>13633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dc:title>
  <dc:subject>Gesplittete Kanalbenutzungsgebühr</dc:subject>
  <dc:creator>Dezernat II</dc:creator>
  <cp:keywords/>
  <dc:description>erstellt am 18.08.2010</dc:description>
  <cp:lastModifiedBy>PROVOX</cp:lastModifiedBy>
  <cp:revision>2</cp:revision>
  <cp:lastPrinted>2010-08-18T09:55:00Z</cp:lastPrinted>
  <dcterms:created xsi:type="dcterms:W3CDTF">2021-12-25T00:09:00Z</dcterms:created>
  <dcterms:modified xsi:type="dcterms:W3CDTF">2021-12-25T00:09:00Z</dcterms:modified>
</cp:coreProperties>
</file>